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7A97180"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5F2321">
        <w:rPr>
          <w:bCs/>
          <w:noProof w:val="0"/>
          <w:sz w:val="24"/>
          <w:szCs w:val="24"/>
        </w:rPr>
        <w:t>00830</w:t>
      </w:r>
    </w:p>
    <w:p w14:paraId="231362B2" w14:textId="6E13EED1"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49379CFB" w14:textId="77777777" w:rsidR="00CD4C7B" w:rsidRPr="00B266B0" w:rsidRDefault="00CD4C7B" w:rsidP="00CD4C7B">
      <w:pPr>
        <w:pStyle w:val="Header"/>
        <w:rPr>
          <w:bCs/>
          <w:noProof w:val="0"/>
          <w:sz w:val="24"/>
        </w:rPr>
      </w:pPr>
    </w:p>
    <w:p w14:paraId="758E2B30" w14:textId="7ECD035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2321" w:rsidRPr="005F2321">
        <w:rPr>
          <w:rFonts w:cs="Arial"/>
          <w:b/>
          <w:bCs/>
          <w:sz w:val="24"/>
          <w:lang w:eastAsia="ja-JP"/>
        </w:rPr>
        <w:t>10.4.3.2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7D12CB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F2321" w:rsidRPr="005F2321">
        <w:rPr>
          <w:rFonts w:ascii="Arial" w:hAnsi="Arial" w:cs="Arial"/>
          <w:b/>
          <w:bCs/>
          <w:sz w:val="24"/>
        </w:rPr>
        <w:t>Structure of NR RRC [N.265]</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FD81E51" w14:textId="47E20397" w:rsidR="003034C3" w:rsidRDefault="003034C3" w:rsidP="00CD4C7B">
      <w:r>
        <w:t xml:space="preserve">The ASN.1 review for NR RRC was started as per the review plan </w:t>
      </w:r>
      <w:hyperlink r:id="rId12" w:history="1">
        <w:r w:rsidR="00015FAF" w:rsidRPr="00015FAF">
          <w:rPr>
            <w:rStyle w:val="Hyperlink"/>
            <w:lang w:val="fi-FI"/>
          </w:rPr>
          <w:t>R2-1714172</w:t>
        </w:r>
      </w:hyperlink>
      <w:r>
        <w:t>. In this document, we present an overview of the overall RRC structure to better ensure everyone can have the same understanding of how the structure has been designed.</w:t>
      </w:r>
    </w:p>
    <w:p w14:paraId="127ACA6D" w14:textId="3CE2D033" w:rsidR="00CD4C7B" w:rsidRPr="006E13D1" w:rsidRDefault="00CD4C7B" w:rsidP="00CD4C7B">
      <w:pPr>
        <w:pStyle w:val="Heading1"/>
      </w:pPr>
      <w:r w:rsidRPr="006E13D1">
        <w:t>2</w:t>
      </w:r>
      <w:r w:rsidRPr="006E13D1">
        <w:tab/>
      </w:r>
      <w:r w:rsidR="003034C3">
        <w:t>Overall NR RRC structure for EN-DC</w:t>
      </w:r>
    </w:p>
    <w:p w14:paraId="557ACF7D" w14:textId="10AA2928" w:rsidR="003034C3" w:rsidRDefault="003034C3" w:rsidP="00CD4C7B">
      <w:r>
        <w:t xml:space="preserve">The main structure for EN-DC can be summarized easily: </w:t>
      </w:r>
      <w:r w:rsidRPr="00015FAF">
        <w:rPr>
          <w:i/>
        </w:rPr>
        <w:t>RRCReconfiguration</w:t>
      </w:r>
      <w:r>
        <w:t xml:space="preserve"> and the contained fields form the entirety of the EN-DC configuration that is performed by SgNB, with only MIB being outside it and broadcast to allow SFN reading from the NSA gNB cell. This is depicted in</w:t>
      </w:r>
      <w:r w:rsidR="00EE402D">
        <w:t xml:space="preserve"> </w:t>
      </w:r>
      <w:r w:rsidR="00FF02ED">
        <w:t>Figure 1</w:t>
      </w:r>
      <w:r w:rsidR="00EE402D">
        <w:t xml:space="preserve"> below</w:t>
      </w:r>
      <w:r w:rsidR="00547E8D">
        <w:t>.</w:t>
      </w:r>
    </w:p>
    <w:bookmarkStart w:id="0" w:name="_Ref503528806"/>
    <w:p w14:paraId="3884F67D" w14:textId="28E874AF" w:rsidR="00CD4C7B" w:rsidRDefault="002622CE" w:rsidP="003034C3">
      <w:pPr>
        <w:pStyle w:val="Caption"/>
        <w:jc w:val="center"/>
        <w:rPr>
          <w:b/>
          <w:i w:val="0"/>
          <w:sz w:val="20"/>
        </w:rPr>
      </w:pPr>
      <w:r>
        <w:object w:dxaOrig="14761" w:dyaOrig="9811" w14:anchorId="5B962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2.1pt;height:320.55pt" o:ole="">
            <v:imagedata r:id="rId13" o:title=""/>
          </v:shape>
          <o:OLEObject Type="Embed" ProgID="Visio.Drawing.15" ShapeID="_x0000_i1043" DrawAspect="Content" ObjectID="_1577685777" r:id="rId14"/>
        </w:object>
      </w:r>
      <w:r w:rsidR="003034C3" w:rsidRPr="009B572C">
        <w:rPr>
          <w:b/>
          <w:i w:val="0"/>
          <w:sz w:val="20"/>
        </w:rPr>
        <w:t xml:space="preserve">Figure </w:t>
      </w:r>
      <w:r w:rsidR="001335B2" w:rsidRPr="009B572C">
        <w:rPr>
          <w:b/>
          <w:i w:val="0"/>
          <w:sz w:val="20"/>
        </w:rPr>
        <w:fldChar w:fldCharType="begin"/>
      </w:r>
      <w:r w:rsidR="001335B2" w:rsidRPr="009B572C">
        <w:rPr>
          <w:b/>
          <w:i w:val="0"/>
          <w:sz w:val="20"/>
        </w:rPr>
        <w:instrText xml:space="preserve"> SEQ Figure \* ARABIC </w:instrText>
      </w:r>
      <w:r w:rsidR="001335B2" w:rsidRPr="009B572C">
        <w:rPr>
          <w:b/>
          <w:i w:val="0"/>
          <w:sz w:val="20"/>
        </w:rPr>
        <w:fldChar w:fldCharType="separate"/>
      </w:r>
      <w:r w:rsidR="00FF02ED">
        <w:rPr>
          <w:b/>
          <w:i w:val="0"/>
          <w:noProof/>
          <w:sz w:val="20"/>
        </w:rPr>
        <w:t>1</w:t>
      </w:r>
      <w:r w:rsidR="001335B2" w:rsidRPr="009B572C">
        <w:rPr>
          <w:b/>
          <w:i w:val="0"/>
          <w:noProof/>
          <w:sz w:val="20"/>
        </w:rPr>
        <w:fldChar w:fldCharType="end"/>
      </w:r>
      <w:bookmarkEnd w:id="0"/>
      <w:r w:rsidR="003034C3" w:rsidRPr="009B572C">
        <w:rPr>
          <w:b/>
          <w:i w:val="0"/>
          <w:sz w:val="20"/>
        </w:rPr>
        <w:t xml:space="preserve">. </w:t>
      </w:r>
      <w:r w:rsidR="000010EE">
        <w:rPr>
          <w:b/>
          <w:i w:val="0"/>
          <w:sz w:val="20"/>
        </w:rPr>
        <w:t xml:space="preserve">The </w:t>
      </w:r>
      <w:r w:rsidR="003034C3" w:rsidRPr="009B572C">
        <w:rPr>
          <w:b/>
          <w:i w:val="0"/>
          <w:sz w:val="20"/>
        </w:rPr>
        <w:t xml:space="preserve">high-level </w:t>
      </w:r>
      <w:r w:rsidR="009B572C">
        <w:rPr>
          <w:b/>
          <w:i w:val="0"/>
          <w:sz w:val="20"/>
        </w:rPr>
        <w:t xml:space="preserve">message </w:t>
      </w:r>
      <w:r w:rsidR="003034C3" w:rsidRPr="009B572C">
        <w:rPr>
          <w:b/>
          <w:i w:val="0"/>
          <w:sz w:val="20"/>
        </w:rPr>
        <w:t>structure</w:t>
      </w:r>
      <w:r w:rsidR="000010EE">
        <w:rPr>
          <w:b/>
          <w:i w:val="0"/>
          <w:sz w:val="20"/>
        </w:rPr>
        <w:t xml:space="preserve"> of EN-DC in NR RRC</w:t>
      </w:r>
    </w:p>
    <w:p w14:paraId="2C45F804" w14:textId="05283B44" w:rsidR="000C5519" w:rsidRPr="000C5519" w:rsidRDefault="000C5519" w:rsidP="000C5519">
      <w:r>
        <w:t xml:space="preserve">We can see that only MIB is really included in the structure, even though SIB1 is also defined (but might be removed from the March 2018 version of RRC – see also </w:t>
      </w:r>
      <w:hyperlink r:id="rId15" w:history="1">
        <w:r w:rsidRPr="000C5519">
          <w:rPr>
            <w:rStyle w:val="Hyperlink"/>
          </w:rPr>
          <w:t>R2-1801519</w:t>
        </w:r>
      </w:hyperlink>
      <w:r>
        <w:t xml:space="preserve"> for discussion on SIB1 specifics).</w:t>
      </w:r>
    </w:p>
    <w:p w14:paraId="0B12A918" w14:textId="2E342D73" w:rsidR="000C5519" w:rsidRDefault="000C5519" w:rsidP="000C5519">
      <w:r w:rsidRPr="000C5519">
        <w:rPr>
          <w:b/>
        </w:rPr>
        <w:t>Observation 1:</w:t>
      </w:r>
      <w:r>
        <w:t xml:space="preserve"> The high-level message structure of EN-DC in NR RRC is very simple and centered around </w:t>
      </w:r>
      <w:r w:rsidRPr="000C41B0">
        <w:rPr>
          <w:i/>
        </w:rPr>
        <w:t>RRCReconfiguration</w:t>
      </w:r>
      <w:r>
        <w:t>.</w:t>
      </w:r>
    </w:p>
    <w:p w14:paraId="233D8342" w14:textId="5C19B8B0" w:rsidR="000C5519" w:rsidRPr="000C5519" w:rsidRDefault="000C5519" w:rsidP="000C5519">
      <w:r>
        <w:lastRenderedPageBreak/>
        <w:t xml:space="preserve">We inspect the </w:t>
      </w:r>
      <w:r w:rsidR="00EE402D">
        <w:t>mode detailed sub-</w:t>
      </w:r>
      <w:r>
        <w:t xml:space="preserve">structure of </w:t>
      </w:r>
      <w:r w:rsidR="00EE402D">
        <w:t xml:space="preserve">the IEs within the </w:t>
      </w:r>
      <w:r w:rsidRPr="000C41B0">
        <w:rPr>
          <w:i/>
        </w:rPr>
        <w:t>RRCReconfiguration</w:t>
      </w:r>
      <w:r>
        <w:t xml:space="preserve"> more closely in the next</w:t>
      </w:r>
      <w:r w:rsidR="00EE402D">
        <w:t xml:space="preserve"> chapter</w:t>
      </w:r>
      <w:r>
        <w:t>.</w:t>
      </w:r>
    </w:p>
    <w:p w14:paraId="5FF0E443" w14:textId="62B86882" w:rsidR="00CD4C7B" w:rsidRPr="006E13D1" w:rsidRDefault="00CD4C7B" w:rsidP="00CD4C7B">
      <w:pPr>
        <w:pStyle w:val="Heading1"/>
      </w:pPr>
      <w:r w:rsidRPr="006E13D1">
        <w:t>3</w:t>
      </w:r>
      <w:r w:rsidRPr="006E13D1">
        <w:tab/>
      </w:r>
      <w:r w:rsidR="003034C3" w:rsidRPr="00EB1C7F">
        <w:rPr>
          <w:i/>
        </w:rPr>
        <w:t>RRCReconfiguration</w:t>
      </w:r>
    </w:p>
    <w:p w14:paraId="3771C9CA" w14:textId="6CDA63E0" w:rsidR="00CD4C7B" w:rsidRPr="006E13D1" w:rsidRDefault="00CD4C7B" w:rsidP="00CD4C7B">
      <w:pPr>
        <w:pStyle w:val="Heading2"/>
      </w:pPr>
      <w:r w:rsidRPr="006E13D1">
        <w:t>3.1</w:t>
      </w:r>
      <w:r w:rsidRPr="006E13D1">
        <w:tab/>
      </w:r>
      <w:r w:rsidR="003034C3">
        <w:t xml:space="preserve">Overview of </w:t>
      </w:r>
      <w:r w:rsidR="003034C3" w:rsidRPr="003034C3">
        <w:rPr>
          <w:i/>
        </w:rPr>
        <w:t>RRCReconfiguration</w:t>
      </w:r>
    </w:p>
    <w:p w14:paraId="4F85C909" w14:textId="5ED52C7A" w:rsidR="00CD4C7B" w:rsidRDefault="001335B2" w:rsidP="003034C3">
      <w:r>
        <w:t xml:space="preserve">The </w:t>
      </w:r>
      <w:r w:rsidR="004101B9">
        <w:t xml:space="preserve">structure of </w:t>
      </w:r>
      <w:r w:rsidRPr="004101B9">
        <w:rPr>
          <w:i/>
        </w:rPr>
        <w:t>RRCReconfiguration</w:t>
      </w:r>
      <w:r>
        <w:t xml:space="preserve"> remains (so far) very simple: It may contain radio bearer configuration (for configuring SRBs and DRBs and corresponding SDAP/PDCP entities), </w:t>
      </w:r>
      <w:r w:rsidRPr="004101B9">
        <w:rPr>
          <w:i/>
        </w:rPr>
        <w:t>CellGroupConfig</w:t>
      </w:r>
      <w:r>
        <w:t xml:space="preserve"> (for lower layer configurations, i.e. RLC/MAC/L1 configuration per serving cell)</w:t>
      </w:r>
      <w:r w:rsidR="00CD4C7B" w:rsidRPr="006E13D1">
        <w:t xml:space="preserve"> </w:t>
      </w:r>
      <w:r>
        <w:t>and measurement configuration (for measurements on NR (serving) carriers).</w:t>
      </w:r>
      <w:r w:rsidR="00EE402D">
        <w:t xml:space="preserve"> This is shown in </w:t>
      </w:r>
      <w:r w:rsidR="00FF02ED">
        <w:t>Figure 2</w:t>
      </w:r>
      <w:r w:rsidR="00EE402D">
        <w:t xml:space="preserve"> below.</w:t>
      </w:r>
      <w:r w:rsidR="006D47D4">
        <w:t xml:space="preserve"> </w:t>
      </w:r>
    </w:p>
    <w:p w14:paraId="66B8A210" w14:textId="3B10CA2F" w:rsidR="001335B2" w:rsidRDefault="001335B2" w:rsidP="003034C3">
      <w:r w:rsidRPr="001335B2">
        <w:rPr>
          <w:b/>
        </w:rPr>
        <w:t>Observation 2:</w:t>
      </w:r>
      <w:r>
        <w:t xml:space="preserve"> The higher layer configurations (which are not per serving cell) are located in </w:t>
      </w:r>
      <w:r w:rsidRPr="004101B9">
        <w:rPr>
          <w:i/>
        </w:rPr>
        <w:t>RadioBearerConfig</w:t>
      </w:r>
      <w:r>
        <w:t xml:space="preserve">, whereas the lower layer configurations (which are at least partly per serving cell) are located in </w:t>
      </w:r>
      <w:r w:rsidRPr="004101B9">
        <w:rPr>
          <w:i/>
        </w:rPr>
        <w:t>CellGroupConfig</w:t>
      </w:r>
      <w:r>
        <w:t>.</w:t>
      </w:r>
    </w:p>
    <w:p w14:paraId="0E293DED" w14:textId="33B31AA5" w:rsidR="001335B2" w:rsidRDefault="001335B2" w:rsidP="003034C3">
      <w:r w:rsidRPr="001335B2">
        <w:rPr>
          <w:b/>
        </w:rPr>
        <w:t>Observation 3:</w:t>
      </w:r>
      <w:r>
        <w:t xml:space="preserve"> The IE </w:t>
      </w:r>
      <w:r w:rsidRPr="004101B9">
        <w:rPr>
          <w:i/>
        </w:rPr>
        <w:t>ServingCellConfigDedicated</w:t>
      </w:r>
      <w:r>
        <w:t xml:space="preserve"> contains the most important cell-specific L1/L2 configurations.</w:t>
      </w:r>
    </w:p>
    <w:p w14:paraId="7911F96A" w14:textId="51A92436" w:rsidR="001335B2" w:rsidRDefault="001335B2" w:rsidP="003034C3">
      <w:r w:rsidRPr="001335B2">
        <w:rPr>
          <w:b/>
        </w:rPr>
        <w:t>Observation 4:</w:t>
      </w:r>
      <w:r>
        <w:t xml:space="preserve"> The IE </w:t>
      </w:r>
      <w:r w:rsidRPr="004101B9">
        <w:rPr>
          <w:i/>
        </w:rPr>
        <w:t>ServingCellConfigCommon</w:t>
      </w:r>
      <w:r>
        <w:t xml:space="preserve"> is only used for SCells (i.e. never for SpCell</w:t>
      </w:r>
      <w:r w:rsidR="000B453E">
        <w:t xml:space="preserve"> since the same information is obtained via SSB and PBCH reading</w:t>
      </w:r>
      <w:r>
        <w:t>).</w:t>
      </w:r>
    </w:p>
    <w:bookmarkStart w:id="1" w:name="_Ref503857768"/>
    <w:p w14:paraId="04BF0A60" w14:textId="1E249DC6" w:rsidR="003034C3" w:rsidRPr="000C41B0" w:rsidRDefault="002622CE" w:rsidP="003034C3">
      <w:pPr>
        <w:pStyle w:val="Caption"/>
        <w:jc w:val="center"/>
        <w:rPr>
          <w:b/>
          <w:i w:val="0"/>
          <w:sz w:val="20"/>
        </w:rPr>
      </w:pPr>
      <w:r>
        <w:object w:dxaOrig="14895" w:dyaOrig="10171" w14:anchorId="4FC8A8D0">
          <v:shape id="_x0000_i1046" type="#_x0000_t75" style="width:482.1pt;height:329.3pt" o:ole="">
            <v:imagedata r:id="rId16" o:title=""/>
          </v:shape>
          <o:OLEObject Type="Embed" ProgID="Visio.Drawing.15" ShapeID="_x0000_i1046" DrawAspect="Content" ObjectID="_1577685778" r:id="rId17"/>
        </w:object>
      </w:r>
      <w:r w:rsidR="003034C3" w:rsidRPr="000C41B0">
        <w:rPr>
          <w:b/>
          <w:i w:val="0"/>
          <w:sz w:val="20"/>
        </w:rPr>
        <w:t xml:space="preserve">Figure </w:t>
      </w:r>
      <w:r w:rsidR="003034C3" w:rsidRPr="000C41B0">
        <w:rPr>
          <w:b/>
          <w:i w:val="0"/>
          <w:sz w:val="20"/>
        </w:rPr>
        <w:fldChar w:fldCharType="begin"/>
      </w:r>
      <w:r w:rsidR="003034C3" w:rsidRPr="000C41B0">
        <w:rPr>
          <w:b/>
          <w:i w:val="0"/>
          <w:sz w:val="20"/>
        </w:rPr>
        <w:instrText xml:space="preserve"> SEQ Figure \* ARABIC </w:instrText>
      </w:r>
      <w:r w:rsidR="003034C3" w:rsidRPr="000C41B0">
        <w:rPr>
          <w:b/>
          <w:i w:val="0"/>
          <w:sz w:val="20"/>
        </w:rPr>
        <w:fldChar w:fldCharType="separate"/>
      </w:r>
      <w:r w:rsidR="00FF02ED">
        <w:rPr>
          <w:b/>
          <w:i w:val="0"/>
          <w:noProof/>
          <w:sz w:val="20"/>
        </w:rPr>
        <w:t>2</w:t>
      </w:r>
      <w:r w:rsidR="003034C3" w:rsidRPr="000C41B0">
        <w:rPr>
          <w:b/>
          <w:i w:val="0"/>
          <w:sz w:val="20"/>
        </w:rPr>
        <w:fldChar w:fldCharType="end"/>
      </w:r>
      <w:bookmarkEnd w:id="1"/>
      <w:r w:rsidR="003034C3" w:rsidRPr="000C41B0">
        <w:rPr>
          <w:b/>
          <w:i w:val="0"/>
          <w:sz w:val="20"/>
        </w:rPr>
        <w:t xml:space="preserve">. </w:t>
      </w:r>
      <w:bookmarkStart w:id="2" w:name="_GoBack"/>
      <w:bookmarkEnd w:id="2"/>
      <w:r w:rsidR="003034C3" w:rsidRPr="000C41B0">
        <w:rPr>
          <w:b/>
          <w:i w:val="0"/>
          <w:sz w:val="20"/>
        </w:rPr>
        <w:t xml:space="preserve">Main structure of </w:t>
      </w:r>
      <w:r w:rsidR="003034C3" w:rsidRPr="004101B9">
        <w:rPr>
          <w:b/>
          <w:sz w:val="20"/>
        </w:rPr>
        <w:t>RRCReconfiguration</w:t>
      </w:r>
    </w:p>
    <w:p w14:paraId="5A7E381B" w14:textId="7AFC206B" w:rsidR="00CD4C7B" w:rsidRPr="006E13D1" w:rsidRDefault="00CD4C7B" w:rsidP="00CD4C7B">
      <w:pPr>
        <w:pStyle w:val="Heading2"/>
      </w:pPr>
      <w:r w:rsidRPr="006E13D1">
        <w:t>3.2</w:t>
      </w:r>
      <w:r w:rsidRPr="006E13D1">
        <w:tab/>
      </w:r>
      <w:r w:rsidR="003034C3">
        <w:t>Dedicated serving cell and BWP configurations</w:t>
      </w:r>
    </w:p>
    <w:p w14:paraId="5581A171" w14:textId="7672AD30" w:rsidR="00AF6602" w:rsidRDefault="00EE402D" w:rsidP="00CD4C7B">
      <w:r>
        <w:t xml:space="preserve">The </w:t>
      </w:r>
      <w:r w:rsidR="00FF02ED">
        <w:t>Figure 3</w:t>
      </w:r>
      <w:r w:rsidR="00AF6602">
        <w:t xml:space="preserve"> below shows how the </w:t>
      </w:r>
      <w:r>
        <w:t>serving cell dedicated configuration (</w:t>
      </w:r>
      <w:r w:rsidRPr="00EE402D">
        <w:rPr>
          <w:i/>
        </w:rPr>
        <w:t>ServingCellConfigDedicated</w:t>
      </w:r>
      <w:r>
        <w:t xml:space="preserve">) </w:t>
      </w:r>
      <w:r w:rsidR="006D47D4">
        <w:t xml:space="preserve">also contains the BWP configurations for all NR serving cells: Each serving cell may have a M uplink BWPs and N downlink BWPs, but it is not currently clear how the UL/DL BWPs are linked: There is </w:t>
      </w:r>
      <w:r w:rsidR="00442262">
        <w:t xml:space="preserve">currently no relation between the number of UL and DL BWPs, and if there are multiple BWPs with the same center frequency, </w:t>
      </w:r>
      <w:r w:rsidR="00AF6602">
        <w:t xml:space="preserve">they are just considered as belonging to the set. </w:t>
      </w:r>
    </w:p>
    <w:p w14:paraId="74FC0FD2" w14:textId="710012B9" w:rsidR="00AF6602" w:rsidRDefault="00AF6602" w:rsidP="00CD4C7B">
      <w:r w:rsidRPr="00AF6602">
        <w:rPr>
          <w:b/>
        </w:rPr>
        <w:t>Observation 5:</w:t>
      </w:r>
      <w:r>
        <w:t xml:space="preserve"> </w:t>
      </w:r>
      <w:r w:rsidR="00E77FB8">
        <w:t xml:space="preserve">It is possible to have different number of </w:t>
      </w:r>
      <w:r>
        <w:t xml:space="preserve">UL and DL BWPs within </w:t>
      </w:r>
      <w:r w:rsidR="00E77FB8">
        <w:t xml:space="preserve">serving cell </w:t>
      </w:r>
      <w:r>
        <w:t>RRC configuration.</w:t>
      </w:r>
    </w:p>
    <w:p w14:paraId="5277D750" w14:textId="0AF18DEE" w:rsidR="00EE402D" w:rsidRDefault="00204270" w:rsidP="00CD4C7B">
      <w:r>
        <w:t>We would note that this is mainly due to the design of BWP</w:t>
      </w:r>
      <w:r w:rsidR="00AF6602">
        <w:t xml:space="preserve"> </w:t>
      </w:r>
      <w:r>
        <w:t>handling</w:t>
      </w:r>
      <w:r w:rsidR="00AF6602">
        <w:t xml:space="preserve">: RRC only needs to indicate the initial BWP and the possible BWPs, and the rest is handled via MAC/L1 as part of the Bandwidth Adaptation (BA) procedures. </w:t>
      </w:r>
      <w:r w:rsidR="00AF6602">
        <w:lastRenderedPageBreak/>
        <w:t>However, it seems also possible that the UL and DL bandwidth could be set as different, e.g. use larger UL BW than DL BW or vice versa.</w:t>
      </w:r>
      <w:r w:rsidR="00E77FB8">
        <w:t xml:space="preserve"> It also seems that the UL/DL BWP IDs are independent, i.e. UL BWP id = 1 and DL BWP id = 1 are not (necessarily) correlated in any way.</w:t>
      </w:r>
    </w:p>
    <w:p w14:paraId="06CEB0B6" w14:textId="10CACF23" w:rsidR="00E77FB8" w:rsidRDefault="00AF6602" w:rsidP="00CD4C7B">
      <w:r w:rsidRPr="00AF6602">
        <w:rPr>
          <w:b/>
        </w:rPr>
        <w:t>Observation 6:</w:t>
      </w:r>
      <w:r>
        <w:t xml:space="preserve"> </w:t>
      </w:r>
      <w:r w:rsidR="00E77FB8">
        <w:t>The UL/DL BWP ids are set independently and BWPs with the same ID need not be linked to each other via the same center frequency.</w:t>
      </w:r>
    </w:p>
    <w:p w14:paraId="05CC51AC" w14:textId="411DE155" w:rsidR="00E77FB8" w:rsidRDefault="00E77FB8" w:rsidP="00CD4C7B">
      <w:r>
        <w:t xml:space="preserve">We also note that the BWP configurations are </w:t>
      </w:r>
      <w:r w:rsidR="00231FFD">
        <w:t>mostly</w:t>
      </w:r>
      <w:r>
        <w:t xml:space="preserve"> decoupled for UL/DL (DL-BWP and UL-BWP are in different IEs, with different content). The L1 parameters relevant to UL are in UL BWP and L1 parameters relevant to DL are in DL BWP. However, UL BWP has also a split to Common/non-common parts for PUSCH and PUCCH, whereas DL BWP only contains </w:t>
      </w:r>
      <w:r w:rsidRPr="00231FFD">
        <w:rPr>
          <w:i/>
        </w:rPr>
        <w:t>PDCCH-ConfigCommon</w:t>
      </w:r>
      <w:r>
        <w:t xml:space="preserve">. </w:t>
      </w:r>
      <w:r w:rsidR="00A019A6">
        <w:t xml:space="preserve">However, </w:t>
      </w:r>
      <w:r w:rsidRPr="00231FFD">
        <w:rPr>
          <w:i/>
        </w:rPr>
        <w:t>ServingCellConfigDedicated</w:t>
      </w:r>
      <w:r>
        <w:t xml:space="preserve"> also contains PDSCH and PUSCH configurations, which seems strange since </w:t>
      </w:r>
      <w:r w:rsidRPr="00231FFD">
        <w:rPr>
          <w:i/>
        </w:rPr>
        <w:t>PUSCH-Config</w:t>
      </w:r>
      <w:r>
        <w:t xml:space="preserve"> IE type can then be included per serving cell and also per BWP. This is also noted in the comments to ASN.1, and is something to resolve: Should there be a per-cell part and per-BWP part of </w:t>
      </w:r>
      <w:r w:rsidRPr="00231FFD">
        <w:rPr>
          <w:i/>
        </w:rPr>
        <w:t>PxxCH</w:t>
      </w:r>
      <w:r w:rsidR="00231FFD">
        <w:rPr>
          <w:i/>
        </w:rPr>
        <w:t>-Config</w:t>
      </w:r>
      <w:r w:rsidR="00231FFD">
        <w:t xml:space="preserve"> IEs</w:t>
      </w:r>
      <w:r>
        <w:t>?</w:t>
      </w:r>
    </w:p>
    <w:p w14:paraId="2D5910D8" w14:textId="79BA4087" w:rsidR="00E77FB8" w:rsidRDefault="00E77FB8" w:rsidP="00CD4C7B">
      <w:r w:rsidRPr="00E77FB8">
        <w:rPr>
          <w:b/>
        </w:rPr>
        <w:t>Observation 7:</w:t>
      </w:r>
      <w:r>
        <w:t xml:space="preserve"> The configuration of </w:t>
      </w:r>
      <w:r w:rsidRPr="00231FFD">
        <w:rPr>
          <w:i/>
        </w:rPr>
        <w:t>PxxCH</w:t>
      </w:r>
      <w:r w:rsidR="00231FFD" w:rsidRPr="00231FFD">
        <w:rPr>
          <w:i/>
        </w:rPr>
        <w:t>-Config</w:t>
      </w:r>
      <w:r>
        <w:t xml:space="preserve"> are not consistent and there are still FFSs as to where </w:t>
      </w:r>
      <w:r w:rsidRPr="00231FFD">
        <w:rPr>
          <w:i/>
        </w:rPr>
        <w:t>PxxCH</w:t>
      </w:r>
      <w:r w:rsidR="00231FFD" w:rsidRPr="00231FFD">
        <w:rPr>
          <w:i/>
        </w:rPr>
        <w:t>-Config</w:t>
      </w:r>
      <w:r>
        <w:t xml:space="preserve"> elements should be configured.</w:t>
      </w:r>
    </w:p>
    <w:p w14:paraId="218A6FF7" w14:textId="0A65D73B" w:rsidR="003034C3" w:rsidRDefault="003034C3" w:rsidP="00CD4C7B"/>
    <w:bookmarkStart w:id="3" w:name="_Ref503859232"/>
    <w:p w14:paraId="1F826A3E" w14:textId="77B90EBD" w:rsidR="003034C3" w:rsidRPr="000C41B0" w:rsidRDefault="00840108" w:rsidP="003034C3">
      <w:pPr>
        <w:pStyle w:val="Caption"/>
        <w:jc w:val="center"/>
        <w:rPr>
          <w:b/>
          <w:i w:val="0"/>
          <w:sz w:val="20"/>
        </w:rPr>
      </w:pPr>
      <w:r>
        <w:object w:dxaOrig="13800" w:dyaOrig="8626" w14:anchorId="605F5F03">
          <v:shape id="_x0000_i1027" type="#_x0000_t75" style="width:481.45pt;height:301.15pt" o:ole="">
            <v:imagedata r:id="rId18" o:title=""/>
          </v:shape>
          <o:OLEObject Type="Embed" ProgID="Visio.Drawing.15" ShapeID="_x0000_i1027" DrawAspect="Content" ObjectID="_1577685779" r:id="rId19"/>
        </w:object>
      </w:r>
      <w:r w:rsidRPr="000C41B0">
        <w:rPr>
          <w:b/>
          <w:i w:val="0"/>
          <w:sz w:val="20"/>
        </w:rPr>
        <w:t xml:space="preserve"> </w:t>
      </w:r>
      <w:r w:rsidR="003034C3" w:rsidRPr="000C41B0">
        <w:rPr>
          <w:b/>
          <w:i w:val="0"/>
          <w:sz w:val="20"/>
        </w:rPr>
        <w:t xml:space="preserve">Figure </w:t>
      </w:r>
      <w:r w:rsidR="003034C3" w:rsidRPr="000C41B0">
        <w:rPr>
          <w:b/>
          <w:i w:val="0"/>
          <w:sz w:val="20"/>
        </w:rPr>
        <w:fldChar w:fldCharType="begin"/>
      </w:r>
      <w:r w:rsidR="003034C3" w:rsidRPr="000C41B0">
        <w:rPr>
          <w:b/>
          <w:i w:val="0"/>
          <w:sz w:val="20"/>
        </w:rPr>
        <w:instrText xml:space="preserve"> SEQ Figure \* ARABIC </w:instrText>
      </w:r>
      <w:r w:rsidR="003034C3" w:rsidRPr="000C41B0">
        <w:rPr>
          <w:b/>
          <w:i w:val="0"/>
          <w:sz w:val="20"/>
        </w:rPr>
        <w:fldChar w:fldCharType="separate"/>
      </w:r>
      <w:r w:rsidR="00FF02ED">
        <w:rPr>
          <w:b/>
          <w:i w:val="0"/>
          <w:noProof/>
          <w:sz w:val="20"/>
        </w:rPr>
        <w:t>3</w:t>
      </w:r>
      <w:r w:rsidR="003034C3" w:rsidRPr="000C41B0">
        <w:rPr>
          <w:b/>
          <w:i w:val="0"/>
          <w:sz w:val="20"/>
        </w:rPr>
        <w:fldChar w:fldCharType="end"/>
      </w:r>
      <w:bookmarkEnd w:id="3"/>
      <w:r w:rsidR="003034C3" w:rsidRPr="000C41B0">
        <w:rPr>
          <w:b/>
          <w:i w:val="0"/>
          <w:sz w:val="20"/>
        </w:rPr>
        <w:t>. ServingCellConfigDedicated and BandwidthPart-Config</w:t>
      </w:r>
    </w:p>
    <w:p w14:paraId="7843E155" w14:textId="77777777" w:rsidR="003034C3" w:rsidRDefault="003034C3" w:rsidP="00CD4C7B"/>
    <w:p w14:paraId="1BA1E11D" w14:textId="6354BABE" w:rsidR="003034C3" w:rsidRPr="006E13D1" w:rsidRDefault="003034C3" w:rsidP="003034C3">
      <w:pPr>
        <w:pStyle w:val="Heading2"/>
      </w:pPr>
      <w:r w:rsidRPr="006E13D1">
        <w:t>3.</w:t>
      </w:r>
      <w:r>
        <w:t>3</w:t>
      </w:r>
      <w:r w:rsidRPr="006E13D1">
        <w:tab/>
      </w:r>
      <w:r>
        <w:t xml:space="preserve">L1 </w:t>
      </w:r>
      <w:r w:rsidR="00E77FB8">
        <w:t xml:space="preserve">UP </w:t>
      </w:r>
      <w:r>
        <w:t xml:space="preserve">configuration within ServingCellconfigDedicated </w:t>
      </w:r>
    </w:p>
    <w:p w14:paraId="19DE37ED" w14:textId="1C263311" w:rsidR="00E77FB8" w:rsidRDefault="00E77FB8" w:rsidP="003034C3">
      <w:r>
        <w:t>Looking further into the L1 configuration</w:t>
      </w:r>
      <w:r w:rsidR="00231FFD">
        <w:t>s defined</w:t>
      </w:r>
      <w:r>
        <w:t xml:space="preserve"> within </w:t>
      </w:r>
      <w:r w:rsidRPr="00E77FB8">
        <w:rPr>
          <w:i/>
        </w:rPr>
        <w:t>ServingCellConfigDedicated</w:t>
      </w:r>
      <w:r>
        <w:t xml:space="preserve"> (but se</w:t>
      </w:r>
      <w:r w:rsidR="00231FFD">
        <w:t xml:space="preserve">e also previous section), as </w:t>
      </w:r>
      <w:r w:rsidR="00FF02ED">
        <w:t>Figure 4</w:t>
      </w:r>
      <w:r>
        <w:t xml:space="preserve"> below shows</w:t>
      </w:r>
      <w:r w:rsidR="00231FFD">
        <w:t>, there are some small inconsistencies:</w:t>
      </w:r>
    </w:p>
    <w:p w14:paraId="359FA91F" w14:textId="40F64B5A" w:rsidR="00231FFD" w:rsidRDefault="00231FFD" w:rsidP="00231FFD">
      <w:pPr>
        <w:pStyle w:val="ListParagraph"/>
        <w:numPr>
          <w:ilvl w:val="0"/>
          <w:numId w:val="5"/>
        </w:numPr>
      </w:pPr>
      <w:r>
        <w:t>SPS-Config is divided to UL and DL parts, which are not BWP-specific, even though it might be possible that the SPS resources could differ according to the used BWP.</w:t>
      </w:r>
    </w:p>
    <w:p w14:paraId="43B596A9" w14:textId="2147FED9" w:rsidR="00231FFD" w:rsidRDefault="00231FFD" w:rsidP="00231FFD">
      <w:pPr>
        <w:pStyle w:val="ListParagraph"/>
        <w:numPr>
          <w:ilvl w:val="0"/>
          <w:numId w:val="5"/>
        </w:numPr>
      </w:pPr>
      <w:r>
        <w:t xml:space="preserve">The </w:t>
      </w:r>
      <w:r w:rsidRPr="00427516">
        <w:rPr>
          <w:i/>
        </w:rPr>
        <w:t>TCI-RS-Sets</w:t>
      </w:r>
      <w:r>
        <w:t xml:space="preserve"> are configured as part of PDSCH, but are then referred to within CORESETs, which are per BWP. Presumably the intent is that TCI-RS-Sets are common to all BWPs, and can then be configured just one and each CORESET then refers to those by ID. But it is very difficult to see this linkage without searching how these are setup.</w:t>
      </w:r>
    </w:p>
    <w:p w14:paraId="6208A199" w14:textId="4B28A620" w:rsidR="00231FFD" w:rsidRDefault="00231FFD" w:rsidP="00231FFD">
      <w:pPr>
        <w:pStyle w:val="ListParagraph"/>
        <w:numPr>
          <w:ilvl w:val="0"/>
          <w:numId w:val="5"/>
        </w:numPr>
      </w:pPr>
      <w:r>
        <w:t xml:space="preserve">The cell-specific TDD configuration is different for Dedicated and Common parts, as well as compared to SIB1 TDD configuration. </w:t>
      </w:r>
    </w:p>
    <w:p w14:paraId="7179F436" w14:textId="63C318DE" w:rsidR="00231FFD" w:rsidRDefault="00231FFD" w:rsidP="00231FFD">
      <w:pPr>
        <w:pStyle w:val="ListParagraph"/>
        <w:numPr>
          <w:ilvl w:val="0"/>
          <w:numId w:val="5"/>
        </w:numPr>
      </w:pPr>
      <w:r>
        <w:lastRenderedPageBreak/>
        <w:t xml:space="preserve">SRS resources are organized into </w:t>
      </w:r>
      <w:r w:rsidRPr="00231FFD">
        <w:rPr>
          <w:i/>
        </w:rPr>
        <w:t>M</w:t>
      </w:r>
      <w:r>
        <w:t xml:space="preserve"> </w:t>
      </w:r>
      <w:r w:rsidRPr="00427516">
        <w:rPr>
          <w:i/>
        </w:rPr>
        <w:t>SRS-ResourceSets</w:t>
      </w:r>
      <w:r>
        <w:t xml:space="preserve"> and </w:t>
      </w:r>
      <w:r w:rsidRPr="00231FFD">
        <w:rPr>
          <w:i/>
        </w:rPr>
        <w:t>N</w:t>
      </w:r>
      <w:r>
        <w:t xml:space="preserve"> SRS-Resources. Each </w:t>
      </w:r>
      <w:r w:rsidR="00427516" w:rsidRPr="00427516">
        <w:rPr>
          <w:i/>
        </w:rPr>
        <w:t>SRS-</w:t>
      </w:r>
      <w:r w:rsidRPr="00427516">
        <w:rPr>
          <w:i/>
        </w:rPr>
        <w:t>ResourceSet</w:t>
      </w:r>
      <w:r>
        <w:t xml:space="preserve"> then consists of </w:t>
      </w:r>
      <w:r>
        <w:rPr>
          <w:i/>
        </w:rPr>
        <w:t>K</w:t>
      </w:r>
      <w:r>
        <w:t xml:space="preserve"> </w:t>
      </w:r>
      <w:r w:rsidRPr="00427516">
        <w:rPr>
          <w:i/>
        </w:rPr>
        <w:t>SRS-Resources</w:t>
      </w:r>
      <w:r>
        <w:t>, linked via IDs to the set (to avoid configuring those resources more than once).</w:t>
      </w:r>
    </w:p>
    <w:p w14:paraId="3D4E09FB" w14:textId="7C607FC9" w:rsidR="00231FFD" w:rsidRDefault="00231FFD" w:rsidP="003034C3">
      <w:r w:rsidRPr="00427516">
        <w:rPr>
          <w:b/>
        </w:rPr>
        <w:t>Observation 8:</w:t>
      </w:r>
      <w:r w:rsidR="00427516">
        <w:t xml:space="preserve"> SPS configurations are per UE, i.e. applied for all configured BWPs.</w:t>
      </w:r>
    </w:p>
    <w:p w14:paraId="3BE35788" w14:textId="5A86D6D7" w:rsidR="003034C3" w:rsidRDefault="00427516" w:rsidP="003034C3">
      <w:r w:rsidRPr="00427516">
        <w:rPr>
          <w:b/>
        </w:rPr>
        <w:t>Observation 9:</w:t>
      </w:r>
      <w:r>
        <w:t xml:space="preserve"> The configuration of </w:t>
      </w:r>
      <w:r w:rsidRPr="00427516">
        <w:rPr>
          <w:i/>
        </w:rPr>
        <w:t>TCI-RS-Set</w:t>
      </w:r>
      <w:r>
        <w:t xml:space="preserve"> is done within </w:t>
      </w:r>
      <w:r w:rsidRPr="00427516">
        <w:rPr>
          <w:i/>
        </w:rPr>
        <w:t>PDSCH-Config</w:t>
      </w:r>
      <w:r>
        <w:t>, but used within CORESET, which is part of PDCCH configuration, which is currently not included anywhere (see section 3.9).</w:t>
      </w:r>
    </w:p>
    <w:bookmarkStart w:id="4" w:name="_Ref503863292"/>
    <w:p w14:paraId="5254E1CC" w14:textId="11395C29" w:rsidR="003034C3" w:rsidRPr="000C41B0" w:rsidRDefault="00840108" w:rsidP="003034C3">
      <w:pPr>
        <w:pStyle w:val="Caption"/>
        <w:jc w:val="center"/>
        <w:rPr>
          <w:b/>
          <w:i w:val="0"/>
          <w:sz w:val="20"/>
        </w:rPr>
      </w:pPr>
      <w:r>
        <w:object w:dxaOrig="15016" w:dyaOrig="10905" w14:anchorId="27103417">
          <v:shape id="_x0000_i1028" type="#_x0000_t75" style="width:482.1pt;height:350pt" o:ole="">
            <v:imagedata r:id="rId20" o:title=""/>
          </v:shape>
          <o:OLEObject Type="Embed" ProgID="Visio.Drawing.15" ShapeID="_x0000_i1028" DrawAspect="Content" ObjectID="_1577685780" r:id="rId21"/>
        </w:object>
      </w:r>
      <w:r w:rsidRPr="000C41B0">
        <w:rPr>
          <w:b/>
          <w:i w:val="0"/>
          <w:sz w:val="20"/>
        </w:rPr>
        <w:t xml:space="preserve"> </w:t>
      </w:r>
      <w:r w:rsidR="003034C3" w:rsidRPr="000C41B0">
        <w:rPr>
          <w:b/>
          <w:i w:val="0"/>
          <w:sz w:val="20"/>
        </w:rPr>
        <w:t xml:space="preserve">Figure </w:t>
      </w:r>
      <w:r w:rsidR="003034C3" w:rsidRPr="000C41B0">
        <w:rPr>
          <w:b/>
          <w:i w:val="0"/>
          <w:sz w:val="20"/>
        </w:rPr>
        <w:fldChar w:fldCharType="begin"/>
      </w:r>
      <w:r w:rsidR="003034C3" w:rsidRPr="000C41B0">
        <w:rPr>
          <w:b/>
          <w:i w:val="0"/>
          <w:sz w:val="20"/>
        </w:rPr>
        <w:instrText xml:space="preserve"> SEQ Figure \* ARABIC </w:instrText>
      </w:r>
      <w:r w:rsidR="003034C3" w:rsidRPr="000C41B0">
        <w:rPr>
          <w:b/>
          <w:i w:val="0"/>
          <w:sz w:val="20"/>
        </w:rPr>
        <w:fldChar w:fldCharType="separate"/>
      </w:r>
      <w:r w:rsidR="00FF02ED">
        <w:rPr>
          <w:b/>
          <w:i w:val="0"/>
          <w:noProof/>
          <w:sz w:val="20"/>
        </w:rPr>
        <w:t>4</w:t>
      </w:r>
      <w:r w:rsidR="003034C3" w:rsidRPr="000C41B0">
        <w:rPr>
          <w:b/>
          <w:i w:val="0"/>
          <w:sz w:val="20"/>
        </w:rPr>
        <w:fldChar w:fldCharType="end"/>
      </w:r>
      <w:bookmarkEnd w:id="4"/>
      <w:r w:rsidR="003034C3" w:rsidRPr="000C41B0">
        <w:rPr>
          <w:b/>
          <w:i w:val="0"/>
          <w:sz w:val="20"/>
        </w:rPr>
        <w:t>. ServingCellConfigDedicated and L1 configurations</w:t>
      </w:r>
    </w:p>
    <w:p w14:paraId="37DE103C" w14:textId="5D218DA2" w:rsidR="003034C3" w:rsidRDefault="003034C3" w:rsidP="003034C3"/>
    <w:p w14:paraId="162FFACC" w14:textId="5CC0FACE" w:rsidR="003034C3" w:rsidRPr="006E13D1" w:rsidRDefault="003034C3" w:rsidP="003034C3">
      <w:pPr>
        <w:pStyle w:val="Heading2"/>
      </w:pPr>
      <w:r>
        <w:t>3.4</w:t>
      </w:r>
      <w:r w:rsidRPr="006E13D1">
        <w:tab/>
      </w:r>
      <w:r>
        <w:t>L2 configuration within CellGroupConfig</w:t>
      </w:r>
    </w:p>
    <w:p w14:paraId="690E0FD9" w14:textId="5C724C1C" w:rsidR="00E46C98" w:rsidRDefault="00E46C98" w:rsidP="003034C3">
      <w:r>
        <w:t>The L2 configurations are mostly within the CellGroupConfig, since they are (by nature) mostly cell-specific parameters. The structure for those is shown in</w:t>
      </w:r>
      <w:r w:rsidR="00FF02ED">
        <w:t xml:space="preserve"> figure 5</w:t>
      </w:r>
      <w:r>
        <w:t xml:space="preserve"> below.</w:t>
      </w:r>
    </w:p>
    <w:p w14:paraId="6B4376C3" w14:textId="5B82DC3C" w:rsidR="003034C3" w:rsidRDefault="003034C3" w:rsidP="003034C3"/>
    <w:bookmarkStart w:id="5" w:name="_Ref503869383"/>
    <w:p w14:paraId="06A5B4CE" w14:textId="371D7B75" w:rsidR="003034C3" w:rsidRPr="000C41B0" w:rsidRDefault="00840108" w:rsidP="003034C3">
      <w:pPr>
        <w:pStyle w:val="Caption"/>
        <w:jc w:val="center"/>
        <w:rPr>
          <w:b/>
          <w:i w:val="0"/>
          <w:sz w:val="20"/>
        </w:rPr>
      </w:pPr>
      <w:r>
        <w:object w:dxaOrig="14266" w:dyaOrig="10756" w14:anchorId="7E0A3F58">
          <v:shape id="_x0000_i1029" type="#_x0000_t75" style="width:481.45pt;height:363.15pt" o:ole="">
            <v:imagedata r:id="rId22" o:title=""/>
          </v:shape>
          <o:OLEObject Type="Embed" ProgID="Visio.Drawing.15" ShapeID="_x0000_i1029" DrawAspect="Content" ObjectID="_1577685781" r:id="rId23"/>
        </w:object>
      </w:r>
      <w:r w:rsidRPr="000C41B0">
        <w:rPr>
          <w:b/>
          <w:i w:val="0"/>
          <w:sz w:val="20"/>
        </w:rPr>
        <w:t xml:space="preserve"> </w:t>
      </w:r>
      <w:r w:rsidR="003034C3" w:rsidRPr="000C41B0">
        <w:rPr>
          <w:b/>
          <w:i w:val="0"/>
          <w:sz w:val="20"/>
        </w:rPr>
        <w:t xml:space="preserve">Figure </w:t>
      </w:r>
      <w:r w:rsidR="003034C3" w:rsidRPr="000C41B0">
        <w:rPr>
          <w:b/>
          <w:i w:val="0"/>
          <w:sz w:val="20"/>
        </w:rPr>
        <w:fldChar w:fldCharType="begin"/>
      </w:r>
      <w:r w:rsidR="003034C3" w:rsidRPr="000C41B0">
        <w:rPr>
          <w:b/>
          <w:i w:val="0"/>
          <w:sz w:val="20"/>
        </w:rPr>
        <w:instrText xml:space="preserve"> SEQ Figure \* ARABIC </w:instrText>
      </w:r>
      <w:r w:rsidR="003034C3" w:rsidRPr="000C41B0">
        <w:rPr>
          <w:b/>
          <w:i w:val="0"/>
          <w:sz w:val="20"/>
        </w:rPr>
        <w:fldChar w:fldCharType="separate"/>
      </w:r>
      <w:r w:rsidR="00FF02ED">
        <w:rPr>
          <w:b/>
          <w:i w:val="0"/>
          <w:noProof/>
          <w:sz w:val="20"/>
        </w:rPr>
        <w:t>5</w:t>
      </w:r>
      <w:r w:rsidR="003034C3" w:rsidRPr="000C41B0">
        <w:rPr>
          <w:b/>
          <w:i w:val="0"/>
          <w:sz w:val="20"/>
        </w:rPr>
        <w:fldChar w:fldCharType="end"/>
      </w:r>
      <w:bookmarkEnd w:id="5"/>
      <w:r w:rsidR="003034C3" w:rsidRPr="000C41B0">
        <w:rPr>
          <w:b/>
          <w:i w:val="0"/>
          <w:sz w:val="20"/>
        </w:rPr>
        <w:t>. CellGroupConfig and L2 configuration</w:t>
      </w:r>
    </w:p>
    <w:p w14:paraId="5A59FE27" w14:textId="1F7C669D" w:rsidR="003034C3" w:rsidRDefault="00824265" w:rsidP="003034C3">
      <w:r>
        <w:t xml:space="preserve">The L2 configuration is mostly rather simple and related to the DU part of the RRC configuration. There aren't many list elements, with perhaps the most complex ones being the LCH-Config which consist of the RLC bearer parts of the configuration (for which the PDCP/SDAP parts that are configured by CU are within </w:t>
      </w:r>
      <w:r w:rsidRPr="00824265">
        <w:rPr>
          <w:i/>
        </w:rPr>
        <w:t>RadioBearerConfig</w:t>
      </w:r>
      <w:r>
        <w:t>, as discussed in section 3.5).</w:t>
      </w:r>
    </w:p>
    <w:p w14:paraId="02796AD5" w14:textId="671C1843" w:rsidR="00824265" w:rsidRDefault="00824265" w:rsidP="003034C3">
      <w:r>
        <w:t xml:space="preserve">We would note that </w:t>
      </w:r>
      <w:r w:rsidR="00F32805">
        <w:t>there are some IEs that do not have many elements (notably, BSR and PHR configurations) but are unlikely to change, and the extendibility of the IEs has not always been considered. Only Tag-ToAddMod allows direction non-critical extensions, and even the CellGroupConfig is not (yet) possible to be extended.</w:t>
      </w:r>
    </w:p>
    <w:p w14:paraId="3D2F2244" w14:textId="3EE7DC69" w:rsidR="00F32805" w:rsidRDefault="00F32805" w:rsidP="003034C3">
      <w:r w:rsidRPr="00F32805">
        <w:rPr>
          <w:b/>
        </w:rPr>
        <w:t>Observation 10:</w:t>
      </w:r>
      <w:r>
        <w:t xml:space="preserve"> The extendibility of L2 IEs has not been considered very well.</w:t>
      </w:r>
    </w:p>
    <w:p w14:paraId="7532C3E6" w14:textId="56EC13E6" w:rsidR="003034C3" w:rsidRPr="006E13D1" w:rsidRDefault="003034C3" w:rsidP="003034C3">
      <w:pPr>
        <w:pStyle w:val="Heading2"/>
      </w:pPr>
      <w:r>
        <w:t>3.5</w:t>
      </w:r>
      <w:r w:rsidRPr="006E13D1">
        <w:tab/>
      </w:r>
      <w:r>
        <w:t>Radio bearer configuration</w:t>
      </w:r>
    </w:p>
    <w:p w14:paraId="1BF08533" w14:textId="20ABF678" w:rsidR="003034C3" w:rsidRDefault="00F32805" w:rsidP="003034C3">
      <w:r>
        <w:t>The radio bearer configuration consists of the (CU-configured parts of) the bearers, i.e. SDAP/PDCP configurations for SRBs and DRBs. These are also used with EN-DC configurations of bearers using NR PDCP. The structure for these is well-aligned with the LTE RRC equivalent, and is shown in</w:t>
      </w:r>
      <w:r w:rsidR="00FF02ED">
        <w:t xml:space="preserve"> Figure 6</w:t>
      </w:r>
      <w:r>
        <w:t xml:space="preserve"> below.</w:t>
      </w:r>
    </w:p>
    <w:bookmarkStart w:id="6" w:name="_Ref503870751"/>
    <w:p w14:paraId="49F65F7C" w14:textId="7E448FEB" w:rsidR="003034C3" w:rsidRPr="000C41B0" w:rsidRDefault="00840108" w:rsidP="003034C3">
      <w:pPr>
        <w:pStyle w:val="Caption"/>
        <w:jc w:val="center"/>
        <w:rPr>
          <w:b/>
          <w:i w:val="0"/>
          <w:sz w:val="20"/>
        </w:rPr>
      </w:pPr>
      <w:r>
        <w:object w:dxaOrig="9916" w:dyaOrig="10035" w14:anchorId="5069DDC9">
          <v:shape id="_x0000_i1030" type="#_x0000_t75" style="width:482.1pt;height:487.7pt" o:ole="">
            <v:imagedata r:id="rId24" o:title=""/>
          </v:shape>
          <o:OLEObject Type="Embed" ProgID="Visio.Drawing.15" ShapeID="_x0000_i1030" DrawAspect="Content" ObjectID="_1577685782" r:id="rId25"/>
        </w:object>
      </w:r>
      <w:r w:rsidRPr="000C41B0">
        <w:rPr>
          <w:b/>
          <w:i w:val="0"/>
          <w:sz w:val="20"/>
        </w:rPr>
        <w:t xml:space="preserve"> </w:t>
      </w:r>
      <w:r w:rsidR="003034C3" w:rsidRPr="000C41B0">
        <w:rPr>
          <w:b/>
          <w:i w:val="0"/>
          <w:sz w:val="20"/>
        </w:rPr>
        <w:t xml:space="preserve">Figure </w:t>
      </w:r>
      <w:r w:rsidR="003034C3" w:rsidRPr="000C41B0">
        <w:rPr>
          <w:b/>
          <w:i w:val="0"/>
          <w:sz w:val="20"/>
        </w:rPr>
        <w:fldChar w:fldCharType="begin"/>
      </w:r>
      <w:r w:rsidR="003034C3" w:rsidRPr="000C41B0">
        <w:rPr>
          <w:b/>
          <w:i w:val="0"/>
          <w:sz w:val="20"/>
        </w:rPr>
        <w:instrText xml:space="preserve"> SEQ Figure \* ARABIC </w:instrText>
      </w:r>
      <w:r w:rsidR="003034C3" w:rsidRPr="000C41B0">
        <w:rPr>
          <w:b/>
          <w:i w:val="0"/>
          <w:sz w:val="20"/>
        </w:rPr>
        <w:fldChar w:fldCharType="separate"/>
      </w:r>
      <w:r w:rsidR="00FF02ED">
        <w:rPr>
          <w:b/>
          <w:i w:val="0"/>
          <w:noProof/>
          <w:sz w:val="20"/>
        </w:rPr>
        <w:t>6</w:t>
      </w:r>
      <w:r w:rsidR="003034C3" w:rsidRPr="000C41B0">
        <w:rPr>
          <w:b/>
          <w:i w:val="0"/>
          <w:sz w:val="20"/>
        </w:rPr>
        <w:fldChar w:fldCharType="end"/>
      </w:r>
      <w:bookmarkEnd w:id="6"/>
      <w:r w:rsidR="003034C3" w:rsidRPr="000C41B0">
        <w:rPr>
          <w:b/>
          <w:i w:val="0"/>
          <w:sz w:val="20"/>
        </w:rPr>
        <w:t>. Radio bearer configuration</w:t>
      </w:r>
    </w:p>
    <w:p w14:paraId="30D9D17B" w14:textId="08B154F3" w:rsidR="00CF3BA9" w:rsidRDefault="00CF3BA9" w:rsidP="003034C3">
      <w:r w:rsidRPr="00CF3BA9">
        <w:rPr>
          <w:b/>
        </w:rPr>
        <w:t>Observation 11:</w:t>
      </w:r>
      <w:r>
        <w:t xml:space="preserve"> The SRB/DRB structure in NR RRC is almost the same as in LTE RRC.</w:t>
      </w:r>
    </w:p>
    <w:p w14:paraId="04C82077" w14:textId="518DD06B" w:rsidR="003034C3" w:rsidRPr="006E13D1" w:rsidRDefault="003034C3" w:rsidP="003034C3">
      <w:pPr>
        <w:pStyle w:val="Heading2"/>
      </w:pPr>
      <w:r w:rsidRPr="006E13D1">
        <w:t>3.</w:t>
      </w:r>
      <w:r>
        <w:t>6</w:t>
      </w:r>
      <w:r w:rsidRPr="006E13D1">
        <w:tab/>
      </w:r>
      <w:r>
        <w:t>CSI measurement configuration</w:t>
      </w:r>
    </w:p>
    <w:p w14:paraId="37D09FB1" w14:textId="4F49BBC0" w:rsidR="00CF3BA9" w:rsidRDefault="00CF3BA9" w:rsidP="003034C3">
      <w:r>
        <w:t xml:space="preserve">The </w:t>
      </w:r>
      <w:r w:rsidRPr="00CF3BA9">
        <w:rPr>
          <w:i/>
        </w:rPr>
        <w:t>CSI-MeasConfig</w:t>
      </w:r>
      <w:r>
        <w:t xml:space="preserve"> IE is perhaps one of the most complex structures in the whole NR RRC: It consists of multiple lists (none of which are releasable, for some reason!), with each list partitioning into multiple levels of parameters, and being linked together via a set of IDs</w:t>
      </w:r>
      <w:r w:rsidR="00BF3465">
        <w:t>, as shown in</w:t>
      </w:r>
      <w:r w:rsidR="00FF02ED">
        <w:t xml:space="preserve"> Figure 7</w:t>
      </w:r>
      <w:r>
        <w:t>.</w:t>
      </w:r>
    </w:p>
    <w:bookmarkStart w:id="7" w:name="_Ref503872065"/>
    <w:p w14:paraId="7AC01DC2" w14:textId="4D78136F" w:rsidR="003034C3" w:rsidRPr="000C41B0" w:rsidRDefault="00840108" w:rsidP="003034C3">
      <w:pPr>
        <w:pStyle w:val="Caption"/>
        <w:jc w:val="center"/>
        <w:rPr>
          <w:b/>
          <w:i w:val="0"/>
          <w:sz w:val="20"/>
        </w:rPr>
      </w:pPr>
      <w:r>
        <w:object w:dxaOrig="15225" w:dyaOrig="11086" w14:anchorId="180D7092">
          <v:shape id="_x0000_i1031" type="#_x0000_t75" style="width:482.1pt;height:350.6pt" o:ole="">
            <v:imagedata r:id="rId26" o:title=""/>
          </v:shape>
          <o:OLEObject Type="Embed" ProgID="Visio.Drawing.15" ShapeID="_x0000_i1031" DrawAspect="Content" ObjectID="_1577685783" r:id="rId27"/>
        </w:object>
      </w:r>
      <w:r w:rsidRPr="000C41B0">
        <w:rPr>
          <w:b/>
          <w:i w:val="0"/>
          <w:sz w:val="20"/>
        </w:rPr>
        <w:t xml:space="preserve"> </w:t>
      </w:r>
      <w:r w:rsidR="003034C3" w:rsidRPr="000C41B0">
        <w:rPr>
          <w:b/>
          <w:i w:val="0"/>
          <w:sz w:val="20"/>
        </w:rPr>
        <w:t xml:space="preserve">Figure </w:t>
      </w:r>
      <w:r w:rsidR="003034C3" w:rsidRPr="000C41B0">
        <w:rPr>
          <w:b/>
          <w:i w:val="0"/>
          <w:sz w:val="20"/>
        </w:rPr>
        <w:fldChar w:fldCharType="begin"/>
      </w:r>
      <w:r w:rsidR="003034C3" w:rsidRPr="000C41B0">
        <w:rPr>
          <w:b/>
          <w:i w:val="0"/>
          <w:sz w:val="20"/>
        </w:rPr>
        <w:instrText xml:space="preserve"> SEQ Figure \* ARABIC </w:instrText>
      </w:r>
      <w:r w:rsidR="003034C3" w:rsidRPr="000C41B0">
        <w:rPr>
          <w:b/>
          <w:i w:val="0"/>
          <w:sz w:val="20"/>
        </w:rPr>
        <w:fldChar w:fldCharType="separate"/>
      </w:r>
      <w:r w:rsidR="00FF02ED">
        <w:rPr>
          <w:b/>
          <w:i w:val="0"/>
          <w:noProof/>
          <w:sz w:val="20"/>
        </w:rPr>
        <w:t>7</w:t>
      </w:r>
      <w:r w:rsidR="003034C3" w:rsidRPr="000C41B0">
        <w:rPr>
          <w:b/>
          <w:i w:val="0"/>
          <w:sz w:val="20"/>
        </w:rPr>
        <w:fldChar w:fldCharType="end"/>
      </w:r>
      <w:bookmarkEnd w:id="7"/>
      <w:r w:rsidR="003034C3" w:rsidRPr="000C41B0">
        <w:rPr>
          <w:b/>
          <w:i w:val="0"/>
          <w:sz w:val="20"/>
        </w:rPr>
        <w:t>. CSI measurement configuration</w:t>
      </w:r>
    </w:p>
    <w:p w14:paraId="402C240B" w14:textId="7CB27B47" w:rsidR="003034C3" w:rsidRDefault="00BF3465" w:rsidP="003034C3">
      <w:r>
        <w:t xml:space="preserve">As can be seen, the NR CQI/CSI measurement framework looks to be just as complex as the LTE CQI/CSI measurement framework (as discussed in e.g. </w:t>
      </w:r>
      <w:hyperlink r:id="rId28" w:history="1">
        <w:r w:rsidRPr="00CF3BA9">
          <w:rPr>
            <w:rStyle w:val="Hyperlink"/>
          </w:rPr>
          <w:t>R2-1707806</w:t>
        </w:r>
      </w:hyperlink>
      <w:r>
        <w:t>), with the addition of beam management angle. There are several slightly unclear issues that might need clarifications:</w:t>
      </w:r>
    </w:p>
    <w:p w14:paraId="66305431" w14:textId="1A583B30" w:rsidR="00BF3465" w:rsidRDefault="00BF3465" w:rsidP="00BF3465">
      <w:pPr>
        <w:pStyle w:val="ListParagraph"/>
        <w:numPr>
          <w:ilvl w:val="0"/>
          <w:numId w:val="5"/>
        </w:numPr>
      </w:pPr>
      <w:r>
        <w:t xml:space="preserve">The </w:t>
      </w:r>
      <w:r w:rsidRPr="00FF02ED">
        <w:rPr>
          <w:i/>
        </w:rPr>
        <w:t>CSI-ResourceConfig</w:t>
      </w:r>
      <w:r>
        <w:t xml:space="preserve">, </w:t>
      </w:r>
      <w:r w:rsidRPr="00FF02ED">
        <w:rPr>
          <w:i/>
        </w:rPr>
        <w:t>CSI-ReportConfig</w:t>
      </w:r>
      <w:r>
        <w:t xml:space="preserve"> and </w:t>
      </w:r>
      <w:r w:rsidRPr="00FF02ED">
        <w:rPr>
          <w:i/>
        </w:rPr>
        <w:t>CSI-MeasIds</w:t>
      </w:r>
      <w:r>
        <w:t xml:space="preserve"> need be releaseable since we only have one </w:t>
      </w:r>
      <w:r w:rsidRPr="00FF02ED">
        <w:rPr>
          <w:i/>
        </w:rPr>
        <w:t>CSI-MeasConfig</w:t>
      </w:r>
      <w:r>
        <w:t xml:space="preserve"> per serving cell</w:t>
      </w:r>
    </w:p>
    <w:p w14:paraId="45E364B2" w14:textId="28B5895D" w:rsidR="00BF3465" w:rsidRDefault="00BF3465" w:rsidP="00BF3465">
      <w:pPr>
        <w:pStyle w:val="ListParagraph"/>
        <w:numPr>
          <w:ilvl w:val="0"/>
          <w:numId w:val="5"/>
        </w:numPr>
      </w:pPr>
      <w:r>
        <w:t xml:space="preserve">The contents of the </w:t>
      </w:r>
      <w:r w:rsidRPr="00FF02ED">
        <w:rPr>
          <w:i/>
        </w:rPr>
        <w:t>CSI-SSB-Resource</w:t>
      </w:r>
      <w:r>
        <w:t xml:space="preserve"> are currently FFS and are completely undefined in ASN.1</w:t>
      </w:r>
    </w:p>
    <w:p w14:paraId="576372AD" w14:textId="4518BCF5" w:rsidR="00BF3465" w:rsidRDefault="00BF3465" w:rsidP="00BF3465">
      <w:pPr>
        <w:pStyle w:val="ListParagraph"/>
        <w:numPr>
          <w:ilvl w:val="0"/>
          <w:numId w:val="5"/>
        </w:numPr>
      </w:pPr>
      <w:r>
        <w:t>The procedural text for handling the CSI measurements is lacking in RRC, and it is not clear if something further is needed (apart from obvious corrections). The Stage-2 specification is also missing the descriptions, which makes it very difficult to read the RRC specification on these.</w:t>
      </w:r>
    </w:p>
    <w:p w14:paraId="2AF0A6AC" w14:textId="54119285" w:rsidR="00BF3465" w:rsidRDefault="00BF3465" w:rsidP="00BF3465">
      <w:pPr>
        <w:pStyle w:val="ListParagraph"/>
        <w:numPr>
          <w:ilvl w:val="0"/>
          <w:numId w:val="5"/>
        </w:numPr>
      </w:pPr>
      <w:r>
        <w:t>It's not clear what NW should configure for UE to do CQI measurements since everything is put together as just "one" over-arching framework – this makes it more difficult to read the configuration from just RRC.</w:t>
      </w:r>
    </w:p>
    <w:p w14:paraId="3C65EB25" w14:textId="4857BEFD" w:rsidR="00BF3465" w:rsidRDefault="00BF3465" w:rsidP="00BF3465">
      <w:pPr>
        <w:pStyle w:val="ListParagraph"/>
        <w:numPr>
          <w:ilvl w:val="0"/>
          <w:numId w:val="5"/>
        </w:numPr>
      </w:pPr>
      <w:r>
        <w:t xml:space="preserve">The </w:t>
      </w:r>
      <w:r w:rsidRPr="00FF02ED">
        <w:rPr>
          <w:i/>
        </w:rPr>
        <w:t>CSI-MeasConfig</w:t>
      </w:r>
      <w:r>
        <w:t xml:space="preserve"> link</w:t>
      </w:r>
      <w:r w:rsidR="00FF02ED">
        <w:t>s</w:t>
      </w:r>
      <w:r>
        <w:t xml:space="preserve"> to the </w:t>
      </w:r>
      <w:r w:rsidRPr="00FF02ED">
        <w:rPr>
          <w:i/>
        </w:rPr>
        <w:t>TCI-RS-Sets</w:t>
      </w:r>
      <w:r>
        <w:t xml:space="preserve"> (configured within PDSCH-Config) via an ID, but only for periodic measurements</w:t>
      </w:r>
      <w:r w:rsidR="00D87A96">
        <w:t xml:space="preserve">. </w:t>
      </w:r>
    </w:p>
    <w:p w14:paraId="181CD27C" w14:textId="1142A7D6" w:rsidR="00BF3465" w:rsidRDefault="00BF3465" w:rsidP="003034C3">
      <w:r w:rsidRPr="00BF3465">
        <w:rPr>
          <w:b/>
        </w:rPr>
        <w:t>O</w:t>
      </w:r>
      <w:r>
        <w:rPr>
          <w:b/>
        </w:rPr>
        <w:t>bservation 12</w:t>
      </w:r>
      <w:r w:rsidRPr="00BF3465">
        <w:rPr>
          <w:b/>
        </w:rPr>
        <w:t>:</w:t>
      </w:r>
      <w:r>
        <w:t xml:space="preserve"> The CSI measurement structure </w:t>
      </w:r>
      <w:r w:rsidR="00D87A96">
        <w:t xml:space="preserve">would benefit from </w:t>
      </w:r>
      <w:r>
        <w:t>further clarifications from RAN1</w:t>
      </w:r>
      <w:r w:rsidR="00D87A96">
        <w:t xml:space="preserve"> as to how it is intended to be used. </w:t>
      </w:r>
    </w:p>
    <w:p w14:paraId="57090E57" w14:textId="72871A21" w:rsidR="00D87A96" w:rsidRDefault="00D87A96" w:rsidP="003034C3">
      <w:r w:rsidRPr="00D87A96">
        <w:rPr>
          <w:b/>
        </w:rPr>
        <w:t>Observation 13:</w:t>
      </w:r>
      <w:r>
        <w:t xml:space="preserve"> It is currently not clear how the CSI resources should be released.</w:t>
      </w:r>
    </w:p>
    <w:p w14:paraId="3EB5113B" w14:textId="30FCBBED" w:rsidR="003034C3" w:rsidRPr="006E13D1" w:rsidRDefault="003034C3" w:rsidP="003034C3">
      <w:pPr>
        <w:pStyle w:val="Heading2"/>
      </w:pPr>
      <w:r>
        <w:t>3.7</w:t>
      </w:r>
      <w:r w:rsidRPr="006E13D1">
        <w:tab/>
      </w:r>
      <w:r>
        <w:t>RRM measurement configuration</w:t>
      </w:r>
    </w:p>
    <w:p w14:paraId="5EFCFCF4" w14:textId="4B140487" w:rsidR="00840108" w:rsidRDefault="00840108" w:rsidP="003034C3">
      <w:r>
        <w:t>The RRM measurement configuration is used for both SA and NSA, but basic structure will have to be frozen already for March 2018. The current structure</w:t>
      </w:r>
      <w:r w:rsidR="00FF02ED">
        <w:t xml:space="preserve"> is shown in Figure 8 (basic RRM measurement framework) and Figure 9 (RS configuration for measurement object) below.</w:t>
      </w:r>
    </w:p>
    <w:p w14:paraId="1107D7C9" w14:textId="7B683821" w:rsidR="003034C3" w:rsidRPr="000C41B0" w:rsidRDefault="00840108" w:rsidP="003034C3">
      <w:pPr>
        <w:pStyle w:val="Caption"/>
        <w:jc w:val="center"/>
        <w:rPr>
          <w:b/>
          <w:i w:val="0"/>
          <w:sz w:val="20"/>
        </w:rPr>
      </w:pPr>
      <w:r>
        <w:object w:dxaOrig="15646" w:dyaOrig="11251" w14:anchorId="189133DF">
          <v:shape id="_x0000_i1032" type="#_x0000_t75" style="width:482.1pt;height:346.25pt" o:ole="">
            <v:imagedata r:id="rId29" o:title=""/>
          </v:shape>
          <o:OLEObject Type="Embed" ProgID="Visio.Drawing.15" ShapeID="_x0000_i1032" DrawAspect="Content" ObjectID="_1577685784" r:id="rId30"/>
        </w:object>
      </w:r>
      <w:r w:rsidRPr="000C41B0">
        <w:rPr>
          <w:b/>
          <w:i w:val="0"/>
          <w:sz w:val="20"/>
        </w:rPr>
        <w:t xml:space="preserve"> </w:t>
      </w:r>
      <w:r w:rsidR="003034C3" w:rsidRPr="000C41B0">
        <w:rPr>
          <w:b/>
          <w:i w:val="0"/>
          <w:sz w:val="20"/>
        </w:rPr>
        <w:t xml:space="preserve">Figure </w:t>
      </w:r>
      <w:r w:rsidR="003034C3" w:rsidRPr="000C41B0">
        <w:rPr>
          <w:b/>
          <w:i w:val="0"/>
          <w:sz w:val="20"/>
        </w:rPr>
        <w:fldChar w:fldCharType="begin"/>
      </w:r>
      <w:r w:rsidR="003034C3" w:rsidRPr="000C41B0">
        <w:rPr>
          <w:b/>
          <w:i w:val="0"/>
          <w:sz w:val="20"/>
        </w:rPr>
        <w:instrText xml:space="preserve"> SEQ Figure \* ARABIC </w:instrText>
      </w:r>
      <w:r w:rsidR="003034C3" w:rsidRPr="000C41B0">
        <w:rPr>
          <w:b/>
          <w:i w:val="0"/>
          <w:sz w:val="20"/>
        </w:rPr>
        <w:fldChar w:fldCharType="separate"/>
      </w:r>
      <w:r w:rsidR="00FF02ED">
        <w:rPr>
          <w:b/>
          <w:i w:val="0"/>
          <w:noProof/>
          <w:sz w:val="20"/>
        </w:rPr>
        <w:t>8</w:t>
      </w:r>
      <w:r w:rsidR="003034C3" w:rsidRPr="000C41B0">
        <w:rPr>
          <w:b/>
          <w:i w:val="0"/>
          <w:sz w:val="20"/>
        </w:rPr>
        <w:fldChar w:fldCharType="end"/>
      </w:r>
      <w:r w:rsidR="003034C3" w:rsidRPr="000C41B0">
        <w:rPr>
          <w:b/>
          <w:i w:val="0"/>
          <w:sz w:val="20"/>
        </w:rPr>
        <w:t xml:space="preserve">. RRM measurement configuration </w:t>
      </w:r>
    </w:p>
    <w:p w14:paraId="15431B9F" w14:textId="77777777" w:rsidR="003971F0" w:rsidRDefault="003971F0" w:rsidP="003034C3"/>
    <w:p w14:paraId="2E749D28" w14:textId="7DA8ACC2" w:rsidR="003971F0" w:rsidRPr="000C41B0" w:rsidRDefault="00840108" w:rsidP="003971F0">
      <w:pPr>
        <w:pStyle w:val="Caption"/>
        <w:jc w:val="center"/>
        <w:rPr>
          <w:b/>
          <w:i w:val="0"/>
          <w:sz w:val="20"/>
        </w:rPr>
      </w:pPr>
      <w:r>
        <w:object w:dxaOrig="15646" w:dyaOrig="9121" w14:anchorId="4C34E77E">
          <v:shape id="_x0000_i1033" type="#_x0000_t75" style="width:482.1pt;height:281.1pt" o:ole="">
            <v:imagedata r:id="rId31" o:title=""/>
          </v:shape>
          <o:OLEObject Type="Embed" ProgID="Visio.Drawing.15" ShapeID="_x0000_i1033" DrawAspect="Content" ObjectID="_1577685785" r:id="rId32"/>
        </w:object>
      </w:r>
      <w:r w:rsidRPr="000C41B0">
        <w:rPr>
          <w:b/>
          <w:i w:val="0"/>
          <w:sz w:val="20"/>
        </w:rPr>
        <w:t xml:space="preserve"> </w:t>
      </w:r>
      <w:r w:rsidR="003971F0" w:rsidRPr="000C41B0">
        <w:rPr>
          <w:b/>
          <w:i w:val="0"/>
          <w:sz w:val="20"/>
        </w:rPr>
        <w:t xml:space="preserve">Figure </w:t>
      </w:r>
      <w:r w:rsidR="003971F0" w:rsidRPr="000C41B0">
        <w:rPr>
          <w:b/>
          <w:i w:val="0"/>
          <w:sz w:val="20"/>
        </w:rPr>
        <w:fldChar w:fldCharType="begin"/>
      </w:r>
      <w:r w:rsidR="003971F0" w:rsidRPr="000C41B0">
        <w:rPr>
          <w:b/>
          <w:i w:val="0"/>
          <w:sz w:val="20"/>
        </w:rPr>
        <w:instrText xml:space="preserve"> SEQ Figure \* ARABIC </w:instrText>
      </w:r>
      <w:r w:rsidR="003971F0" w:rsidRPr="000C41B0">
        <w:rPr>
          <w:b/>
          <w:i w:val="0"/>
          <w:sz w:val="20"/>
        </w:rPr>
        <w:fldChar w:fldCharType="separate"/>
      </w:r>
      <w:r w:rsidR="00FF02ED">
        <w:rPr>
          <w:b/>
          <w:i w:val="0"/>
          <w:noProof/>
          <w:sz w:val="20"/>
        </w:rPr>
        <w:t>9</w:t>
      </w:r>
      <w:r w:rsidR="003971F0" w:rsidRPr="000C41B0">
        <w:rPr>
          <w:b/>
          <w:i w:val="0"/>
          <w:sz w:val="20"/>
        </w:rPr>
        <w:fldChar w:fldCharType="end"/>
      </w:r>
      <w:r w:rsidR="003971F0" w:rsidRPr="000C41B0">
        <w:rPr>
          <w:b/>
          <w:i w:val="0"/>
          <w:sz w:val="20"/>
        </w:rPr>
        <w:t xml:space="preserve">. </w:t>
      </w:r>
      <w:r w:rsidR="003971F0">
        <w:rPr>
          <w:b/>
          <w:i w:val="0"/>
          <w:sz w:val="20"/>
        </w:rPr>
        <w:t>ReferenceSignal</w:t>
      </w:r>
      <w:r w:rsidR="003971F0" w:rsidRPr="000C41B0">
        <w:rPr>
          <w:b/>
          <w:i w:val="0"/>
          <w:sz w:val="20"/>
        </w:rPr>
        <w:t xml:space="preserve"> configuration </w:t>
      </w:r>
      <w:r w:rsidR="003971F0">
        <w:rPr>
          <w:b/>
          <w:i w:val="0"/>
          <w:sz w:val="20"/>
        </w:rPr>
        <w:t>within MeasObjectNR</w:t>
      </w:r>
    </w:p>
    <w:p w14:paraId="6172838B" w14:textId="78F8352D" w:rsidR="003971F0" w:rsidRDefault="00FF02ED" w:rsidP="003034C3">
      <w:r>
        <w:t xml:space="preserve">The basic RRM framework is almost one-to-one the same as LTE RRM framework, with one difference: The configurability of which reference signals are used is clearly different than the CRS/CSI-RS configurations in LTE </w:t>
      </w:r>
      <w:r>
        <w:lastRenderedPageBreak/>
        <w:t>RRC.</w:t>
      </w:r>
      <w:r w:rsidR="00D87A96">
        <w:t xml:space="preserve"> This makes the configuration bigger in many places, as does the amount of measurement quantities (RSRP, RSRQ, RS-SINR), but these are rather minor parts. the biggest difficult is with the linkage of the CSI-RS resources for mobility with those for CSI measurements: There are some commonalities but both configurations are fully separated at the moment (which seems sensible given that RRM measurements address also cases where the timing of the CSI-RS is not as well-known as for serving cells).</w:t>
      </w:r>
    </w:p>
    <w:p w14:paraId="651D010C" w14:textId="7D814E11" w:rsidR="00D87A96" w:rsidRDefault="00D87A96" w:rsidP="003034C3">
      <w:r>
        <w:t>Still, there are some oddities:</w:t>
      </w:r>
    </w:p>
    <w:p w14:paraId="649CDCC2" w14:textId="0145892A" w:rsidR="00D87A96" w:rsidRDefault="00D87A96" w:rsidP="00D87A96">
      <w:pPr>
        <w:pStyle w:val="ListParagraph"/>
        <w:numPr>
          <w:ilvl w:val="0"/>
          <w:numId w:val="5"/>
        </w:numPr>
      </w:pPr>
      <w:r>
        <w:t>Two different SMTC configurations exist, with both possible to be configured at the same time. SMTC1 can be used for both intra- and inter-frequency measurements, whereas SMTC2 is only for intra-frequency measurements. However, procedural text has zero mentions of either one (or even of SMTC in general), leading the reader to wonder just how the measurement configuration should be applied</w:t>
      </w:r>
    </w:p>
    <w:p w14:paraId="63ABBEA3" w14:textId="62652AE7" w:rsidR="004D3CCE" w:rsidRDefault="004D3CCE" w:rsidP="00D87A96">
      <w:pPr>
        <w:pStyle w:val="ListParagraph"/>
        <w:numPr>
          <w:ilvl w:val="0"/>
          <w:numId w:val="5"/>
        </w:numPr>
      </w:pPr>
      <w:r>
        <w:t>The QCL assumptions for SSB should be clarified – right now they have just FFS references, making them difficult to interpret.</w:t>
      </w:r>
    </w:p>
    <w:p w14:paraId="64EFAB3A" w14:textId="05162B62" w:rsidR="004D3CCE" w:rsidRDefault="004D3CCE" w:rsidP="004D3CCE">
      <w:r w:rsidRPr="004D3CCE">
        <w:rPr>
          <w:b/>
        </w:rPr>
        <w:t>Observation 14:</w:t>
      </w:r>
      <w:r>
        <w:t xml:space="preserve"> The usage of SMTCs are very unclear in NR RRC.</w:t>
      </w:r>
    </w:p>
    <w:p w14:paraId="3DA3DB43" w14:textId="7B809B49" w:rsidR="003034C3" w:rsidRPr="006E13D1" w:rsidRDefault="003034C3" w:rsidP="003034C3">
      <w:pPr>
        <w:pStyle w:val="Heading2"/>
      </w:pPr>
      <w:r>
        <w:t>3.8</w:t>
      </w:r>
      <w:r w:rsidRPr="006E13D1">
        <w:tab/>
      </w:r>
      <w:r>
        <w:t>System information broadcast</w:t>
      </w:r>
    </w:p>
    <w:p w14:paraId="7602845A" w14:textId="52FA6300" w:rsidR="004D3CCE" w:rsidRDefault="004D3CCE" w:rsidP="003034C3">
      <w:r>
        <w:t xml:space="preserve">Apart from MIB, the SI broadcast Is not relevant for EN-DC (except for ANR purposes, but we will not discuss that here). As discussed in </w:t>
      </w:r>
      <w:hyperlink r:id="rId33" w:history="1">
        <w:r w:rsidRPr="004D3CCE">
          <w:rPr>
            <w:rStyle w:val="Hyperlink"/>
          </w:rPr>
          <w:t>R2-1801519</w:t>
        </w:r>
      </w:hyperlink>
      <w:r>
        <w:t>, MIB is transmitted over PBCH and SIB1 over DL-SCH</w:t>
      </w:r>
      <w:r w:rsidR="0020077D">
        <w:t xml:space="preserve">. This, along with size estimate for MIB and SIB1, is shown in Figure 10 below. </w:t>
      </w:r>
    </w:p>
    <w:p w14:paraId="1AE6E381" w14:textId="77777777" w:rsidR="00840108" w:rsidRDefault="00840108" w:rsidP="003034C3">
      <w:pPr>
        <w:pStyle w:val="Caption"/>
        <w:jc w:val="center"/>
        <w:rPr>
          <w:b/>
          <w:i w:val="0"/>
          <w:sz w:val="20"/>
        </w:rPr>
      </w:pPr>
      <w:r>
        <w:object w:dxaOrig="8836" w:dyaOrig="7096" w14:anchorId="1F5BE345">
          <v:shape id="_x0000_i1034" type="#_x0000_t75" style="width:442pt;height:355pt" o:ole="">
            <v:imagedata r:id="rId34" o:title=""/>
          </v:shape>
          <o:OLEObject Type="Embed" ProgID="Visio.Drawing.15" ShapeID="_x0000_i1034" DrawAspect="Content" ObjectID="_1577685786" r:id="rId35"/>
        </w:object>
      </w:r>
      <w:r w:rsidRPr="000C41B0">
        <w:rPr>
          <w:b/>
          <w:i w:val="0"/>
          <w:sz w:val="20"/>
        </w:rPr>
        <w:t xml:space="preserve"> </w:t>
      </w:r>
    </w:p>
    <w:p w14:paraId="696BF3E6" w14:textId="2D43AEC7" w:rsidR="003034C3" w:rsidRPr="000C41B0" w:rsidRDefault="003034C3" w:rsidP="003034C3">
      <w:pPr>
        <w:pStyle w:val="Caption"/>
        <w:jc w:val="center"/>
        <w:rPr>
          <w:b/>
          <w:i w:val="0"/>
          <w:sz w:val="20"/>
        </w:rPr>
      </w:pPr>
      <w:r w:rsidRPr="000C41B0">
        <w:rPr>
          <w:b/>
          <w:i w:val="0"/>
          <w:sz w:val="20"/>
        </w:rPr>
        <w:t xml:space="preserve">Figure </w:t>
      </w:r>
      <w:r w:rsidRPr="000C41B0">
        <w:rPr>
          <w:b/>
          <w:i w:val="0"/>
          <w:sz w:val="20"/>
        </w:rPr>
        <w:fldChar w:fldCharType="begin"/>
      </w:r>
      <w:r w:rsidRPr="000C41B0">
        <w:rPr>
          <w:b/>
          <w:i w:val="0"/>
          <w:sz w:val="20"/>
        </w:rPr>
        <w:instrText xml:space="preserve"> SEQ Figure \* ARABIC </w:instrText>
      </w:r>
      <w:r w:rsidRPr="000C41B0">
        <w:rPr>
          <w:b/>
          <w:i w:val="0"/>
          <w:sz w:val="20"/>
        </w:rPr>
        <w:fldChar w:fldCharType="separate"/>
      </w:r>
      <w:r w:rsidR="00FF02ED">
        <w:rPr>
          <w:b/>
          <w:i w:val="0"/>
          <w:noProof/>
          <w:sz w:val="20"/>
        </w:rPr>
        <w:t>10</w:t>
      </w:r>
      <w:r w:rsidRPr="000C41B0">
        <w:rPr>
          <w:b/>
          <w:i w:val="0"/>
          <w:sz w:val="20"/>
        </w:rPr>
        <w:fldChar w:fldCharType="end"/>
      </w:r>
      <w:r w:rsidRPr="000C41B0">
        <w:rPr>
          <w:b/>
          <w:i w:val="0"/>
          <w:sz w:val="20"/>
        </w:rPr>
        <w:t>. System information broadcast</w:t>
      </w:r>
    </w:p>
    <w:p w14:paraId="02E17947" w14:textId="561BB90D" w:rsidR="003034C3" w:rsidRDefault="0020077D" w:rsidP="003034C3">
      <w:r>
        <w:t xml:space="preserve">As discussed in </w:t>
      </w:r>
      <w:hyperlink r:id="rId36" w:history="1">
        <w:r w:rsidRPr="004D3CCE">
          <w:rPr>
            <w:rStyle w:val="Hyperlink"/>
          </w:rPr>
          <w:t>R2-1801519</w:t>
        </w:r>
      </w:hyperlink>
      <w:r>
        <w:t>, it seems that the size of SIB1 could grow to be quite large, so something should be done to optimize that, especially for FR2 (i.e. frequencies above 6 GHz).</w:t>
      </w:r>
    </w:p>
    <w:p w14:paraId="733A40AD" w14:textId="3CA037B4" w:rsidR="0020077D" w:rsidRDefault="0020077D" w:rsidP="003034C3">
      <w:r w:rsidRPr="0020077D">
        <w:rPr>
          <w:b/>
        </w:rPr>
        <w:t>Observation 15:</w:t>
      </w:r>
      <w:r>
        <w:t xml:space="preserve"> The SIB1 size may present problems to NR standalone operation with FR2.</w:t>
      </w:r>
    </w:p>
    <w:p w14:paraId="41DFC37F" w14:textId="45EE92E9" w:rsidR="003034C3" w:rsidRPr="006E13D1" w:rsidRDefault="003034C3" w:rsidP="003034C3">
      <w:pPr>
        <w:pStyle w:val="Heading2"/>
      </w:pPr>
      <w:r>
        <w:lastRenderedPageBreak/>
        <w:t>3.9</w:t>
      </w:r>
      <w:r w:rsidRPr="006E13D1">
        <w:tab/>
      </w:r>
      <w:r>
        <w:t>"Orphaned" IEs (that are not used anywhere)</w:t>
      </w:r>
    </w:p>
    <w:p w14:paraId="37C482A3" w14:textId="03109F24" w:rsidR="0020077D" w:rsidRDefault="0020077D" w:rsidP="003034C3">
      <w:r>
        <w:t>Finally, we would also note that there are some IEs that are not currently used at all in RRC despite being defined. The biggest of these are shown in Figure 11 below, and as can be seen, e.g. PDCCH-Config is rather important one as without that the system simply cannot work. Hence, it is quite imperative that how these IEs are supposed to be used is clarified – Figure 11 shows some possible ways, but needs clarification.</w:t>
      </w:r>
    </w:p>
    <w:p w14:paraId="484CD76A" w14:textId="3DA5A891" w:rsidR="003034C3" w:rsidRDefault="00D87A96" w:rsidP="003034C3">
      <w:pPr>
        <w:pStyle w:val="Caption"/>
        <w:jc w:val="center"/>
        <w:rPr>
          <w:b/>
          <w:i w:val="0"/>
          <w:sz w:val="20"/>
        </w:rPr>
      </w:pPr>
      <w:r>
        <w:object w:dxaOrig="14806" w:dyaOrig="10801" w14:anchorId="4FA0F349">
          <v:shape id="_x0000_i1035" type="#_x0000_t75" style="width:482.1pt;height:351.85pt" o:ole="">
            <v:imagedata r:id="rId37" o:title=""/>
          </v:shape>
          <o:OLEObject Type="Embed" ProgID="Visio.Drawing.15" ShapeID="_x0000_i1035" DrawAspect="Content" ObjectID="_1577685787" r:id="rId38"/>
        </w:object>
      </w:r>
      <w:r w:rsidRPr="000C41B0">
        <w:rPr>
          <w:b/>
          <w:i w:val="0"/>
          <w:sz w:val="20"/>
        </w:rPr>
        <w:t xml:space="preserve"> </w:t>
      </w:r>
      <w:r w:rsidR="003034C3" w:rsidRPr="000C41B0">
        <w:rPr>
          <w:b/>
          <w:i w:val="0"/>
          <w:sz w:val="20"/>
        </w:rPr>
        <w:t xml:space="preserve">Figure </w:t>
      </w:r>
      <w:r w:rsidR="003034C3" w:rsidRPr="000C41B0">
        <w:rPr>
          <w:b/>
          <w:i w:val="0"/>
          <w:sz w:val="20"/>
        </w:rPr>
        <w:fldChar w:fldCharType="begin"/>
      </w:r>
      <w:r w:rsidR="003034C3" w:rsidRPr="000C41B0">
        <w:rPr>
          <w:b/>
          <w:i w:val="0"/>
          <w:sz w:val="20"/>
        </w:rPr>
        <w:instrText xml:space="preserve"> SEQ Figure \* ARABIC </w:instrText>
      </w:r>
      <w:r w:rsidR="003034C3" w:rsidRPr="000C41B0">
        <w:rPr>
          <w:b/>
          <w:i w:val="0"/>
          <w:sz w:val="20"/>
        </w:rPr>
        <w:fldChar w:fldCharType="separate"/>
      </w:r>
      <w:r w:rsidR="00FF02ED">
        <w:rPr>
          <w:b/>
          <w:i w:val="0"/>
          <w:noProof/>
          <w:sz w:val="20"/>
        </w:rPr>
        <w:t>11</w:t>
      </w:r>
      <w:r w:rsidR="003034C3" w:rsidRPr="000C41B0">
        <w:rPr>
          <w:b/>
          <w:i w:val="0"/>
          <w:sz w:val="20"/>
        </w:rPr>
        <w:fldChar w:fldCharType="end"/>
      </w:r>
      <w:r w:rsidR="003034C3" w:rsidRPr="000C41B0">
        <w:rPr>
          <w:b/>
          <w:i w:val="0"/>
          <w:sz w:val="20"/>
        </w:rPr>
        <w:t>. Orphaned IEs within NR RRC</w:t>
      </w:r>
    </w:p>
    <w:p w14:paraId="17409E51" w14:textId="3DF1A1D8" w:rsidR="0020077D" w:rsidRDefault="0020077D" w:rsidP="0020077D">
      <w:r w:rsidRPr="00B07DFB">
        <w:rPr>
          <w:b/>
        </w:rPr>
        <w:t>Observation 16:</w:t>
      </w:r>
      <w:r>
        <w:t xml:space="preserve"> Not defining </w:t>
      </w:r>
      <w:r w:rsidR="00B07DFB">
        <w:t xml:space="preserve">at least the PDCCH-Config location </w:t>
      </w:r>
      <w:r>
        <w:t>prevent</w:t>
      </w:r>
      <w:r w:rsidR="00B07DFB">
        <w:t>s</w:t>
      </w:r>
      <w:r>
        <w:t xml:space="preserve"> RRC from being </w:t>
      </w:r>
      <w:r w:rsidR="00B07DFB">
        <w:t>usable for radio configuration.</w:t>
      </w:r>
    </w:p>
    <w:p w14:paraId="7004F920" w14:textId="28884F53" w:rsidR="0020077D" w:rsidRPr="0020077D" w:rsidRDefault="0020077D" w:rsidP="0020077D">
      <w:r w:rsidRPr="0020077D">
        <w:rPr>
          <w:b/>
        </w:rPr>
        <w:t>Proposal 1:</w:t>
      </w:r>
      <w:r>
        <w:t xml:space="preserve"> Clarify where PDCCH-Config, SRS-CarrierSwitching and BeamManagement IEs should be used within NR RRC.</w:t>
      </w:r>
    </w:p>
    <w:p w14:paraId="7F0ACB91" w14:textId="3C48EBDF" w:rsidR="0020077D" w:rsidRPr="006E13D1" w:rsidRDefault="0020077D" w:rsidP="0020077D">
      <w:pPr>
        <w:pStyle w:val="Heading2"/>
      </w:pPr>
      <w:r>
        <w:t>3.10</w:t>
      </w:r>
      <w:r w:rsidRPr="006E13D1">
        <w:tab/>
      </w:r>
      <w:r>
        <w:t>General remarks about RRC</w:t>
      </w:r>
    </w:p>
    <w:p w14:paraId="1BCC0457" w14:textId="6A0BB122" w:rsidR="0020077D" w:rsidRDefault="0020077D" w:rsidP="0020077D">
      <w:r>
        <w:t xml:space="preserve">Given the schedule of NR RRC creation, it has all the time been quite obvious that there would be quite some errors and inaccuracies to correct during the ASN.1 review (as always). Hence, we would also note some general observations about </w:t>
      </w:r>
      <w:r w:rsidR="00B07DFB">
        <w:t xml:space="preserve">inconsistencies within </w:t>
      </w:r>
      <w:r>
        <w:t>the NR RRC below.</w:t>
      </w:r>
    </w:p>
    <w:p w14:paraId="3B2BB924" w14:textId="7848DB7C" w:rsidR="0020077D" w:rsidRDefault="00B07DFB" w:rsidP="0020077D">
      <w:r w:rsidRPr="00B07DFB">
        <w:rPr>
          <w:b/>
        </w:rPr>
        <w:t>Observation 17</w:t>
      </w:r>
      <w:r w:rsidR="0020077D" w:rsidRPr="00B07DFB">
        <w:rPr>
          <w:b/>
        </w:rPr>
        <w:t>:</w:t>
      </w:r>
      <w:r w:rsidR="0020077D">
        <w:t xml:space="preserve"> </w:t>
      </w:r>
      <w:r>
        <w:t>For naming of lists, both "</w:t>
      </w:r>
      <w:r w:rsidRPr="00B07DFB">
        <w:rPr>
          <w:i/>
        </w:rPr>
        <w:t>Element</w:t>
      </w:r>
      <w:r w:rsidRPr="00B07DFB">
        <w:rPr>
          <w:b/>
          <w:i/>
          <w:u w:val="single"/>
        </w:rPr>
        <w:t>List</w:t>
      </w:r>
      <w:r>
        <w:t>" and "</w:t>
      </w:r>
      <w:r w:rsidRPr="00B07DFB">
        <w:rPr>
          <w:i/>
        </w:rPr>
        <w:t>Element</w:t>
      </w:r>
      <w:r w:rsidRPr="00B07DFB">
        <w:rPr>
          <w:b/>
          <w:i/>
          <w:u w:val="single"/>
        </w:rPr>
        <w:t>s</w:t>
      </w:r>
      <w:r>
        <w:t>" are currently used, depending on location.</w:t>
      </w:r>
    </w:p>
    <w:p w14:paraId="1E192021" w14:textId="660B19DB" w:rsidR="00B07DFB" w:rsidRDefault="00B07DFB" w:rsidP="0020077D">
      <w:r w:rsidRPr="00B07DFB">
        <w:rPr>
          <w:b/>
        </w:rPr>
        <w:t>Observation 18:</w:t>
      </w:r>
      <w:r>
        <w:t xml:space="preserve"> Not all lists can be released.</w:t>
      </w:r>
    </w:p>
    <w:p w14:paraId="4643E1A6" w14:textId="33D77FE8" w:rsidR="00B07DFB" w:rsidRDefault="00B07DFB" w:rsidP="0020077D">
      <w:r w:rsidRPr="00B07DFB">
        <w:rPr>
          <w:b/>
        </w:rPr>
        <w:t xml:space="preserve">Observation 19: </w:t>
      </w:r>
      <w:r>
        <w:t>The use of IE names like "</w:t>
      </w:r>
      <w:r w:rsidRPr="00B07DFB">
        <w:rPr>
          <w:i/>
        </w:rPr>
        <w:t>ElementConfigCommon</w:t>
      </w:r>
      <w:r>
        <w:t>" and "</w:t>
      </w:r>
      <w:r w:rsidRPr="00B07DFB">
        <w:rPr>
          <w:i/>
        </w:rPr>
        <w:t>ElementConfigDedicated</w:t>
      </w:r>
      <w:r>
        <w:t xml:space="preserve">" is not consistent – for example, we have </w:t>
      </w:r>
      <w:r w:rsidRPr="00B07DFB">
        <w:rPr>
          <w:i/>
        </w:rPr>
        <w:t>PUCCH-Config</w:t>
      </w:r>
      <w:r>
        <w:t xml:space="preserve"> and </w:t>
      </w:r>
      <w:r w:rsidRPr="00B07DFB">
        <w:rPr>
          <w:i/>
        </w:rPr>
        <w:t>PUCCH-ConfigCommon</w:t>
      </w:r>
      <w:r>
        <w:t xml:space="preserve">, but no </w:t>
      </w:r>
      <w:r w:rsidRPr="00B07DFB">
        <w:rPr>
          <w:i/>
        </w:rPr>
        <w:t>PUCCH-ConfigDedicated</w:t>
      </w:r>
      <w:r>
        <w:t>.</w:t>
      </w:r>
    </w:p>
    <w:p w14:paraId="6D52B907" w14:textId="0AAE10F6" w:rsidR="00B07DFB" w:rsidRDefault="00B07DFB" w:rsidP="0020077D">
      <w:r w:rsidRPr="00B07DFB">
        <w:rPr>
          <w:b/>
        </w:rPr>
        <w:t>Observation 20:</w:t>
      </w:r>
      <w:r>
        <w:t xml:space="preserve"> Many IEs cannot be extended at all, and many fields are missing need codes.</w:t>
      </w:r>
    </w:p>
    <w:p w14:paraId="52CD76A5" w14:textId="2EF10E64" w:rsidR="00B07DFB" w:rsidRDefault="00B07DFB" w:rsidP="0020077D">
      <w:r w:rsidRPr="00B07DFB">
        <w:rPr>
          <w:b/>
        </w:rPr>
        <w:t>Proposal 2:</w:t>
      </w:r>
      <w:r>
        <w:t xml:space="preserve"> Discuss how to harmonize practices concerning Observations 17-20.</w:t>
      </w:r>
    </w:p>
    <w:p w14:paraId="70C1D191" w14:textId="135E4076" w:rsidR="00B07DFB" w:rsidRDefault="00B07DFB" w:rsidP="0020077D">
      <w:r>
        <w:lastRenderedPageBreak/>
        <w:t>Further, given the structure of NR RRC may be rather difficult to discern, we have been considering it might be good to have (at least until September 2018) an informative Annex within RRC that shows the structure of the ASN.1 in similar manner as we have shown it here. The problem of having such an annex after September 2018 would of course be the burden of maintaining the structure with every release, but only the major elements might need to be included. Still, additional maintenance burden is often not good, so we would like to hear companies' opinions on the matter.</w:t>
      </w:r>
    </w:p>
    <w:p w14:paraId="21DBA425" w14:textId="19280E97" w:rsidR="00B07DFB" w:rsidRDefault="00B07DFB" w:rsidP="0020077D">
      <w:r w:rsidRPr="00B07DFB">
        <w:rPr>
          <w:b/>
        </w:rPr>
        <w:t>Proposal 3:</w:t>
      </w:r>
      <w:r>
        <w:t xml:space="preserve"> </w:t>
      </w:r>
      <w:r w:rsidR="00A019A6">
        <w:t xml:space="preserve">Add an </w:t>
      </w:r>
      <w:r>
        <w:t xml:space="preserve">informative annex </w:t>
      </w:r>
      <w:r w:rsidR="00A019A6">
        <w:t xml:space="preserve">to RRC with figures about </w:t>
      </w:r>
      <w:r>
        <w:t>the main ASN.1 structure.</w:t>
      </w:r>
    </w:p>
    <w:p w14:paraId="43A12B72" w14:textId="5690C518" w:rsidR="00CD4C7B" w:rsidRPr="006E13D1" w:rsidRDefault="00CD4C7B" w:rsidP="00CD4C7B">
      <w:pPr>
        <w:pStyle w:val="Heading1"/>
      </w:pPr>
      <w:r w:rsidRPr="006E13D1">
        <w:t>4</w:t>
      </w:r>
      <w:r w:rsidRPr="006E13D1">
        <w:tab/>
      </w:r>
      <w:r w:rsidR="000C5519">
        <w:t>Conclusions</w:t>
      </w:r>
    </w:p>
    <w:p w14:paraId="366B07E1" w14:textId="54A51D7E" w:rsidR="000C5519" w:rsidRDefault="000C5519" w:rsidP="00CD4C7B">
      <w:r>
        <w:t>We have discussed the general structure of NR RRC and observed the following:</w:t>
      </w:r>
      <w:r w:rsidR="00CD4C7B" w:rsidRPr="006E13D1">
        <w:t xml:space="preserve"> </w:t>
      </w:r>
    </w:p>
    <w:p w14:paraId="3BB622D2" w14:textId="0AA0C0A0" w:rsidR="000C5519" w:rsidRDefault="000C5519" w:rsidP="000C5519">
      <w:r w:rsidRPr="000C5519">
        <w:rPr>
          <w:b/>
        </w:rPr>
        <w:t>Observation 1:</w:t>
      </w:r>
      <w:r>
        <w:t xml:space="preserve"> The high-level message structure of EN-DC in NR RRC is very simple and centered around RRCReconfiguration.</w:t>
      </w:r>
    </w:p>
    <w:p w14:paraId="2A93CCA7" w14:textId="77777777" w:rsidR="004101B9" w:rsidRDefault="004101B9" w:rsidP="004101B9">
      <w:r w:rsidRPr="001335B2">
        <w:rPr>
          <w:b/>
        </w:rPr>
        <w:t>Observation 2:</w:t>
      </w:r>
      <w:r>
        <w:t xml:space="preserve"> The higher layer configurations (which are not per serving cell) are located in </w:t>
      </w:r>
      <w:r w:rsidRPr="004101B9">
        <w:rPr>
          <w:i/>
        </w:rPr>
        <w:t>RadioBearerConfig</w:t>
      </w:r>
      <w:r>
        <w:t xml:space="preserve">, whereas the lower layer configurations (which are at least partly per serving cell) are located in </w:t>
      </w:r>
      <w:r w:rsidRPr="004101B9">
        <w:rPr>
          <w:i/>
        </w:rPr>
        <w:t>CellGroupConfig</w:t>
      </w:r>
      <w:r>
        <w:t>.</w:t>
      </w:r>
    </w:p>
    <w:p w14:paraId="031EEA74" w14:textId="77777777" w:rsidR="004101B9" w:rsidRDefault="004101B9" w:rsidP="004101B9">
      <w:r w:rsidRPr="001335B2">
        <w:rPr>
          <w:b/>
        </w:rPr>
        <w:t>Observation 3:</w:t>
      </w:r>
      <w:r>
        <w:t xml:space="preserve"> The IE </w:t>
      </w:r>
      <w:r w:rsidRPr="004101B9">
        <w:rPr>
          <w:i/>
        </w:rPr>
        <w:t>ServingCellConfigDedicated</w:t>
      </w:r>
      <w:r>
        <w:t xml:space="preserve"> contains the most important cell-specific L1/L2 configurations.</w:t>
      </w:r>
    </w:p>
    <w:p w14:paraId="54151811" w14:textId="33D6E66C" w:rsidR="004101B9" w:rsidRDefault="004101B9" w:rsidP="004101B9">
      <w:r w:rsidRPr="001335B2">
        <w:rPr>
          <w:b/>
        </w:rPr>
        <w:t>Observation 4:</w:t>
      </w:r>
      <w:r>
        <w:t xml:space="preserve"> The IE </w:t>
      </w:r>
      <w:r w:rsidRPr="004101B9">
        <w:rPr>
          <w:i/>
        </w:rPr>
        <w:t>ServingCellConfigCommon</w:t>
      </w:r>
      <w:r>
        <w:t xml:space="preserve"> is only used for SCells (i.e. never for SpCell).</w:t>
      </w:r>
    </w:p>
    <w:p w14:paraId="6A20171E" w14:textId="77777777" w:rsidR="00231FFD" w:rsidRDefault="00231FFD" w:rsidP="00231FFD">
      <w:r w:rsidRPr="00AF6602">
        <w:rPr>
          <w:b/>
        </w:rPr>
        <w:t>Observation 5:</w:t>
      </w:r>
      <w:r>
        <w:t xml:space="preserve"> It is possible to have different number of UL and DL BWPs within serving cell RRC configuration.</w:t>
      </w:r>
    </w:p>
    <w:p w14:paraId="6C23BF20" w14:textId="77777777" w:rsidR="00231FFD" w:rsidRDefault="00231FFD" w:rsidP="00231FFD">
      <w:r w:rsidRPr="00AF6602">
        <w:rPr>
          <w:b/>
        </w:rPr>
        <w:t>Observation 6:</w:t>
      </w:r>
      <w:r>
        <w:t xml:space="preserve"> The UL/DL BWP ids are set independently and BWPs with the same ID need not be linked to each other via the same center frequency.</w:t>
      </w:r>
    </w:p>
    <w:p w14:paraId="326817AD" w14:textId="77777777" w:rsidR="00231FFD" w:rsidRDefault="00231FFD" w:rsidP="00231FFD">
      <w:r w:rsidRPr="00E77FB8">
        <w:rPr>
          <w:b/>
        </w:rPr>
        <w:t>Observation 7:</w:t>
      </w:r>
      <w:r>
        <w:t xml:space="preserve"> The configuration of </w:t>
      </w:r>
      <w:r w:rsidRPr="00231FFD">
        <w:rPr>
          <w:i/>
        </w:rPr>
        <w:t>PxxCH-Config</w:t>
      </w:r>
      <w:r>
        <w:t xml:space="preserve"> are not consistent and there are still FFSs as to where </w:t>
      </w:r>
      <w:r w:rsidRPr="00231FFD">
        <w:rPr>
          <w:i/>
        </w:rPr>
        <w:t>PxxCH-Config</w:t>
      </w:r>
      <w:r>
        <w:t xml:space="preserve"> elements should be configured.</w:t>
      </w:r>
    </w:p>
    <w:p w14:paraId="0BB77CA5" w14:textId="77777777" w:rsidR="00427516" w:rsidRDefault="00427516" w:rsidP="00427516">
      <w:r w:rsidRPr="00427516">
        <w:rPr>
          <w:b/>
        </w:rPr>
        <w:t>Observation 8:</w:t>
      </w:r>
      <w:r>
        <w:t xml:space="preserve"> SPS configurations are per UE, i.e. applied for all configured BWPs.</w:t>
      </w:r>
    </w:p>
    <w:p w14:paraId="19358C87" w14:textId="3A42534D" w:rsidR="00427516" w:rsidRDefault="00427516" w:rsidP="00427516">
      <w:r w:rsidRPr="00427516">
        <w:rPr>
          <w:b/>
        </w:rPr>
        <w:t>Observation 9:</w:t>
      </w:r>
      <w:r>
        <w:t xml:space="preserve"> The configuration of </w:t>
      </w:r>
      <w:r w:rsidRPr="00427516">
        <w:rPr>
          <w:i/>
        </w:rPr>
        <w:t>TCI-RS-Set</w:t>
      </w:r>
      <w:r>
        <w:t xml:space="preserve"> is done within </w:t>
      </w:r>
      <w:r w:rsidRPr="00427516">
        <w:rPr>
          <w:i/>
        </w:rPr>
        <w:t>PDSCH-Config</w:t>
      </w:r>
      <w:r>
        <w:t>, but used within CORESET, which is part of PDCCH configuration, which is currently not included anywhere (see section 3.9).</w:t>
      </w:r>
    </w:p>
    <w:p w14:paraId="58204331" w14:textId="77777777" w:rsidR="00CF3BA9" w:rsidRDefault="00CF3BA9" w:rsidP="00CF3BA9">
      <w:r w:rsidRPr="00F32805">
        <w:rPr>
          <w:b/>
        </w:rPr>
        <w:t>Observation 10:</w:t>
      </w:r>
      <w:r>
        <w:t xml:space="preserve"> The extendibility of L2 IEs has not been considered very well.</w:t>
      </w:r>
    </w:p>
    <w:p w14:paraId="68BE972C" w14:textId="77777777" w:rsidR="00CF3BA9" w:rsidRDefault="00CF3BA9" w:rsidP="00CF3BA9">
      <w:r w:rsidRPr="00CF3BA9">
        <w:rPr>
          <w:b/>
        </w:rPr>
        <w:t>Observation 11:</w:t>
      </w:r>
      <w:r>
        <w:t xml:space="preserve"> The SRB/DRB structure in NR RRC is almost the same as in LTE RRC.</w:t>
      </w:r>
    </w:p>
    <w:p w14:paraId="1A95D30F" w14:textId="77777777" w:rsidR="0020077D" w:rsidRDefault="0020077D" w:rsidP="0020077D">
      <w:r w:rsidRPr="00BF3465">
        <w:rPr>
          <w:b/>
        </w:rPr>
        <w:t>O</w:t>
      </w:r>
      <w:r>
        <w:rPr>
          <w:b/>
        </w:rPr>
        <w:t>bservation 12</w:t>
      </w:r>
      <w:r w:rsidRPr="00BF3465">
        <w:rPr>
          <w:b/>
        </w:rPr>
        <w:t>:</w:t>
      </w:r>
      <w:r>
        <w:t xml:space="preserve"> The CSI measurement structure would benefit from further clarifications from RAN1 as to how it is intended to be used. </w:t>
      </w:r>
    </w:p>
    <w:p w14:paraId="00CEB354" w14:textId="77777777" w:rsidR="0020077D" w:rsidRDefault="0020077D" w:rsidP="0020077D">
      <w:r w:rsidRPr="00D87A96">
        <w:rPr>
          <w:b/>
        </w:rPr>
        <w:t>Observation 13:</w:t>
      </w:r>
      <w:r>
        <w:t xml:space="preserve"> It is currently not clear how the CSI resources should be released.</w:t>
      </w:r>
    </w:p>
    <w:p w14:paraId="247E28E4" w14:textId="6CBB2230" w:rsidR="0020077D" w:rsidRDefault="0020077D" w:rsidP="0020077D">
      <w:r w:rsidRPr="004D3CCE">
        <w:rPr>
          <w:b/>
        </w:rPr>
        <w:t>Observation 14:</w:t>
      </w:r>
      <w:r>
        <w:t xml:space="preserve"> The usage of SMTCs are very unclear in NR RRC.</w:t>
      </w:r>
    </w:p>
    <w:p w14:paraId="7661124E" w14:textId="77777777" w:rsidR="0020077D" w:rsidRDefault="0020077D" w:rsidP="0020077D">
      <w:r w:rsidRPr="0020077D">
        <w:rPr>
          <w:b/>
        </w:rPr>
        <w:t>Observation 15:</w:t>
      </w:r>
      <w:r>
        <w:t xml:space="preserve"> The SIB1 size may present problems to NR standalone operation with FR2.</w:t>
      </w:r>
    </w:p>
    <w:p w14:paraId="592BB2F7" w14:textId="77777777" w:rsidR="00B07DFB" w:rsidRDefault="00B07DFB" w:rsidP="00B07DFB">
      <w:r w:rsidRPr="00B07DFB">
        <w:rPr>
          <w:b/>
        </w:rPr>
        <w:t>Observation 16:</w:t>
      </w:r>
      <w:r>
        <w:t xml:space="preserve"> Not defining at least the PDCCH-Config location prevents RRC from being usable for radio configuration.</w:t>
      </w:r>
    </w:p>
    <w:p w14:paraId="5EC0B172" w14:textId="77777777" w:rsidR="00B07DFB" w:rsidRDefault="00B07DFB" w:rsidP="00B07DFB">
      <w:r w:rsidRPr="00B07DFB">
        <w:rPr>
          <w:b/>
        </w:rPr>
        <w:t>Observation 17:</w:t>
      </w:r>
      <w:r>
        <w:t xml:space="preserve"> For naming of lists, both "</w:t>
      </w:r>
      <w:r w:rsidRPr="00B07DFB">
        <w:rPr>
          <w:i/>
        </w:rPr>
        <w:t>Element</w:t>
      </w:r>
      <w:r w:rsidRPr="00B07DFB">
        <w:rPr>
          <w:b/>
          <w:i/>
          <w:u w:val="single"/>
        </w:rPr>
        <w:t>List</w:t>
      </w:r>
      <w:r>
        <w:t>" and "</w:t>
      </w:r>
      <w:r w:rsidRPr="00B07DFB">
        <w:rPr>
          <w:i/>
        </w:rPr>
        <w:t>Element</w:t>
      </w:r>
      <w:r w:rsidRPr="00B07DFB">
        <w:rPr>
          <w:b/>
          <w:i/>
          <w:u w:val="single"/>
        </w:rPr>
        <w:t>s</w:t>
      </w:r>
      <w:r>
        <w:t>" are currently used, depending on location.</w:t>
      </w:r>
    </w:p>
    <w:p w14:paraId="216450A3" w14:textId="77777777" w:rsidR="00B07DFB" w:rsidRDefault="00B07DFB" w:rsidP="00B07DFB">
      <w:r w:rsidRPr="00B07DFB">
        <w:rPr>
          <w:b/>
        </w:rPr>
        <w:t>Observation 18:</w:t>
      </w:r>
      <w:r>
        <w:t xml:space="preserve"> Not all lists can be released.</w:t>
      </w:r>
    </w:p>
    <w:p w14:paraId="2076381C" w14:textId="77777777" w:rsidR="00B07DFB" w:rsidRDefault="00B07DFB" w:rsidP="00B07DFB">
      <w:r w:rsidRPr="00B07DFB">
        <w:rPr>
          <w:b/>
        </w:rPr>
        <w:t xml:space="preserve">Observation 19: </w:t>
      </w:r>
      <w:r>
        <w:t>The use of IE names like "</w:t>
      </w:r>
      <w:r w:rsidRPr="00B07DFB">
        <w:rPr>
          <w:i/>
        </w:rPr>
        <w:t>ElementConfigCommon</w:t>
      </w:r>
      <w:r>
        <w:t>" and "</w:t>
      </w:r>
      <w:r w:rsidRPr="00B07DFB">
        <w:rPr>
          <w:i/>
        </w:rPr>
        <w:t>ElementConfigDedicated</w:t>
      </w:r>
      <w:r>
        <w:t xml:space="preserve">" is not consistent – for example, we have </w:t>
      </w:r>
      <w:r w:rsidRPr="00B07DFB">
        <w:rPr>
          <w:i/>
        </w:rPr>
        <w:t>PUCCH-Config</w:t>
      </w:r>
      <w:r>
        <w:t xml:space="preserve"> and </w:t>
      </w:r>
      <w:r w:rsidRPr="00B07DFB">
        <w:rPr>
          <w:i/>
        </w:rPr>
        <w:t>PUCCH-ConfigCommon</w:t>
      </w:r>
      <w:r>
        <w:t xml:space="preserve">, but no </w:t>
      </w:r>
      <w:r w:rsidRPr="00B07DFB">
        <w:rPr>
          <w:i/>
        </w:rPr>
        <w:t>PUCCH-ConfigDedicated</w:t>
      </w:r>
      <w:r>
        <w:t>.</w:t>
      </w:r>
    </w:p>
    <w:p w14:paraId="72535B2B" w14:textId="77777777" w:rsidR="00B07DFB" w:rsidRDefault="00B07DFB" w:rsidP="00B07DFB">
      <w:r w:rsidRPr="00B07DFB">
        <w:rPr>
          <w:b/>
        </w:rPr>
        <w:t>Observation 20:</w:t>
      </w:r>
      <w:r>
        <w:t xml:space="preserve"> Many IEs cannot be extended at all, and many fields are missing need codes.</w:t>
      </w:r>
    </w:p>
    <w:p w14:paraId="540A5F70" w14:textId="40C78319" w:rsidR="000C5519" w:rsidRDefault="000C5519" w:rsidP="000C5519">
      <w:r>
        <w:t>Based on these and the discussion, we propose the following:</w:t>
      </w:r>
    </w:p>
    <w:p w14:paraId="480680A6" w14:textId="70DD38A1" w:rsidR="00B07DFB" w:rsidRDefault="00B07DFB" w:rsidP="00B07DFB">
      <w:r w:rsidRPr="0020077D">
        <w:rPr>
          <w:b/>
        </w:rPr>
        <w:t>Proposal 1:</w:t>
      </w:r>
      <w:r>
        <w:t xml:space="preserve"> Clarify where PDCCH-Config, SRS-CarrierSwitching and BeamManagement IEs should be used within NR RRC.</w:t>
      </w:r>
    </w:p>
    <w:p w14:paraId="30D42224" w14:textId="4EB29865" w:rsidR="00B07DFB" w:rsidRDefault="00B07DFB" w:rsidP="00B07DFB">
      <w:r w:rsidRPr="00B07DFB">
        <w:rPr>
          <w:b/>
        </w:rPr>
        <w:t>Proposal 2:</w:t>
      </w:r>
      <w:r>
        <w:t xml:space="preserve"> Discuss how to harmonize practices concerning Observations 17-20.</w:t>
      </w:r>
    </w:p>
    <w:p w14:paraId="519C162C" w14:textId="77777777" w:rsidR="00A019A6" w:rsidRDefault="00A019A6" w:rsidP="00A019A6">
      <w:r w:rsidRPr="00B07DFB">
        <w:rPr>
          <w:b/>
        </w:rPr>
        <w:lastRenderedPageBreak/>
        <w:t>Proposal 3:</w:t>
      </w:r>
      <w:r>
        <w:t xml:space="preserve"> Add an informative annex to RRC with figures about the main ASN.1 structure.</w:t>
      </w:r>
    </w:p>
    <w:p w14:paraId="348D4265" w14:textId="77777777" w:rsidR="00B07DFB" w:rsidRDefault="00B07DFB" w:rsidP="00B07DF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052FD" w14:textId="77777777" w:rsidR="00325F32" w:rsidRDefault="00325F32">
      <w:r>
        <w:separator/>
      </w:r>
    </w:p>
  </w:endnote>
  <w:endnote w:type="continuationSeparator" w:id="0">
    <w:p w14:paraId="7D2BF8D3" w14:textId="77777777" w:rsidR="00325F32" w:rsidRDefault="00325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30331" w14:textId="77777777" w:rsidR="00325F32" w:rsidRDefault="00325F32">
      <w:r>
        <w:separator/>
      </w:r>
    </w:p>
  </w:footnote>
  <w:footnote w:type="continuationSeparator" w:id="0">
    <w:p w14:paraId="2ED51B46" w14:textId="77777777" w:rsidR="00325F32" w:rsidRDefault="00325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2A109D3"/>
    <w:multiLevelType w:val="hybridMultilevel"/>
    <w:tmpl w:val="46A225E4"/>
    <w:lvl w:ilvl="0" w:tplc="C98C91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896A12"/>
    <w:multiLevelType w:val="hybridMultilevel"/>
    <w:tmpl w:val="278EE0E2"/>
    <w:lvl w:ilvl="0" w:tplc="C98C91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86641A"/>
    <w:multiLevelType w:val="hybridMultilevel"/>
    <w:tmpl w:val="CF826ADC"/>
    <w:lvl w:ilvl="0" w:tplc="C98C91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EE"/>
    <w:rsid w:val="00015FAF"/>
    <w:rsid w:val="00033397"/>
    <w:rsid w:val="00040095"/>
    <w:rsid w:val="00063FD3"/>
    <w:rsid w:val="00067CF0"/>
    <w:rsid w:val="00080512"/>
    <w:rsid w:val="00090468"/>
    <w:rsid w:val="000B453E"/>
    <w:rsid w:val="000B7BCF"/>
    <w:rsid w:val="000C41B0"/>
    <w:rsid w:val="000C522B"/>
    <w:rsid w:val="000C5519"/>
    <w:rsid w:val="000D58AB"/>
    <w:rsid w:val="00112F1A"/>
    <w:rsid w:val="001335B2"/>
    <w:rsid w:val="00145075"/>
    <w:rsid w:val="001741A0"/>
    <w:rsid w:val="00175FA0"/>
    <w:rsid w:val="00194CD0"/>
    <w:rsid w:val="001B49C9"/>
    <w:rsid w:val="001C4F79"/>
    <w:rsid w:val="001E0E58"/>
    <w:rsid w:val="001F168B"/>
    <w:rsid w:val="001F7831"/>
    <w:rsid w:val="0020077D"/>
    <w:rsid w:val="00204045"/>
    <w:rsid w:val="00204270"/>
    <w:rsid w:val="0020712B"/>
    <w:rsid w:val="0022606D"/>
    <w:rsid w:val="00231FFD"/>
    <w:rsid w:val="002622CE"/>
    <w:rsid w:val="002747EC"/>
    <w:rsid w:val="002855BF"/>
    <w:rsid w:val="002F0D22"/>
    <w:rsid w:val="003034C3"/>
    <w:rsid w:val="003172DC"/>
    <w:rsid w:val="00325AE3"/>
    <w:rsid w:val="00325F32"/>
    <w:rsid w:val="00326069"/>
    <w:rsid w:val="0035462D"/>
    <w:rsid w:val="00364B41"/>
    <w:rsid w:val="003971F0"/>
    <w:rsid w:val="003B40AD"/>
    <w:rsid w:val="003C4E37"/>
    <w:rsid w:val="003E16BE"/>
    <w:rsid w:val="004006E8"/>
    <w:rsid w:val="00401855"/>
    <w:rsid w:val="004101B9"/>
    <w:rsid w:val="00427516"/>
    <w:rsid w:val="00442262"/>
    <w:rsid w:val="00477455"/>
    <w:rsid w:val="004C44D2"/>
    <w:rsid w:val="004D3578"/>
    <w:rsid w:val="004D380D"/>
    <w:rsid w:val="004D3CCE"/>
    <w:rsid w:val="004E213A"/>
    <w:rsid w:val="00503171"/>
    <w:rsid w:val="00503575"/>
    <w:rsid w:val="00506C28"/>
    <w:rsid w:val="00534DA0"/>
    <w:rsid w:val="00543E6C"/>
    <w:rsid w:val="00547E8D"/>
    <w:rsid w:val="005629A4"/>
    <w:rsid w:val="00565087"/>
    <w:rsid w:val="0056573F"/>
    <w:rsid w:val="005F2321"/>
    <w:rsid w:val="00611566"/>
    <w:rsid w:val="00617191"/>
    <w:rsid w:val="00646D99"/>
    <w:rsid w:val="00656910"/>
    <w:rsid w:val="006C66D8"/>
    <w:rsid w:val="006D1E24"/>
    <w:rsid w:val="006D47D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24265"/>
    <w:rsid w:val="00840108"/>
    <w:rsid w:val="008768CA"/>
    <w:rsid w:val="00877EF9"/>
    <w:rsid w:val="00880559"/>
    <w:rsid w:val="008B5306"/>
    <w:rsid w:val="0090271F"/>
    <w:rsid w:val="00902DB9"/>
    <w:rsid w:val="0090466A"/>
    <w:rsid w:val="00936071"/>
    <w:rsid w:val="00936B46"/>
    <w:rsid w:val="00940212"/>
    <w:rsid w:val="00942EC2"/>
    <w:rsid w:val="00961B32"/>
    <w:rsid w:val="00970DB3"/>
    <w:rsid w:val="00974BB0"/>
    <w:rsid w:val="009A0AF3"/>
    <w:rsid w:val="009B07CD"/>
    <w:rsid w:val="009B572C"/>
    <w:rsid w:val="009C19E9"/>
    <w:rsid w:val="009D74A6"/>
    <w:rsid w:val="00A019A6"/>
    <w:rsid w:val="00A10F02"/>
    <w:rsid w:val="00A204CA"/>
    <w:rsid w:val="00A53724"/>
    <w:rsid w:val="00A71749"/>
    <w:rsid w:val="00A82346"/>
    <w:rsid w:val="00A9671C"/>
    <w:rsid w:val="00AA1553"/>
    <w:rsid w:val="00AF6602"/>
    <w:rsid w:val="00B07DFB"/>
    <w:rsid w:val="00B15449"/>
    <w:rsid w:val="00B27303"/>
    <w:rsid w:val="00B47FD1"/>
    <w:rsid w:val="00B516BB"/>
    <w:rsid w:val="00BC3555"/>
    <w:rsid w:val="00BF3465"/>
    <w:rsid w:val="00C12B51"/>
    <w:rsid w:val="00C24650"/>
    <w:rsid w:val="00C33079"/>
    <w:rsid w:val="00C83A13"/>
    <w:rsid w:val="00C9068C"/>
    <w:rsid w:val="00C92967"/>
    <w:rsid w:val="00CA3D0C"/>
    <w:rsid w:val="00CA654B"/>
    <w:rsid w:val="00CD101C"/>
    <w:rsid w:val="00CD4C7B"/>
    <w:rsid w:val="00CF3BA9"/>
    <w:rsid w:val="00D30285"/>
    <w:rsid w:val="00D3792D"/>
    <w:rsid w:val="00D55E47"/>
    <w:rsid w:val="00D62E19"/>
    <w:rsid w:val="00D738D6"/>
    <w:rsid w:val="00D80795"/>
    <w:rsid w:val="00D854BE"/>
    <w:rsid w:val="00D87A96"/>
    <w:rsid w:val="00D87E00"/>
    <w:rsid w:val="00D9134D"/>
    <w:rsid w:val="00D96D11"/>
    <w:rsid w:val="00DA7A03"/>
    <w:rsid w:val="00DB1818"/>
    <w:rsid w:val="00DC309B"/>
    <w:rsid w:val="00DC4DA2"/>
    <w:rsid w:val="00E46C98"/>
    <w:rsid w:val="00E62835"/>
    <w:rsid w:val="00E77645"/>
    <w:rsid w:val="00E77FB8"/>
    <w:rsid w:val="00E83697"/>
    <w:rsid w:val="00EB1C7F"/>
    <w:rsid w:val="00EC4A25"/>
    <w:rsid w:val="00EE402D"/>
    <w:rsid w:val="00F025A2"/>
    <w:rsid w:val="00F07388"/>
    <w:rsid w:val="00F2026E"/>
    <w:rsid w:val="00F2210A"/>
    <w:rsid w:val="00F32805"/>
    <w:rsid w:val="00F37743"/>
    <w:rsid w:val="00F535C1"/>
    <w:rsid w:val="00F54A3D"/>
    <w:rsid w:val="00F54CB0"/>
    <w:rsid w:val="00F653B8"/>
    <w:rsid w:val="00F71B89"/>
    <w:rsid w:val="00F7353C"/>
    <w:rsid w:val="00F76F8F"/>
    <w:rsid w:val="00FA1266"/>
    <w:rsid w:val="00FB36FA"/>
    <w:rsid w:val="00FC1192"/>
    <w:rsid w:val="00FE251B"/>
    <w:rsid w:val="00FF02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3034C3"/>
    <w:pPr>
      <w:spacing w:after="200"/>
    </w:pPr>
    <w:rPr>
      <w:i/>
      <w:iCs/>
      <w:color w:val="44546A" w:themeColor="text2"/>
      <w:sz w:val="18"/>
      <w:szCs w:val="18"/>
    </w:rPr>
  </w:style>
  <w:style w:type="character" w:styleId="UnresolvedMention">
    <w:name w:val="Unresolved Mention"/>
    <w:basedOn w:val="DefaultParagraphFont"/>
    <w:rsid w:val="000C5519"/>
    <w:rPr>
      <w:color w:val="808080"/>
      <w:shd w:val="clear" w:color="auto" w:fill="E6E6E6"/>
    </w:rPr>
  </w:style>
  <w:style w:type="paragraph" w:styleId="ListParagraph">
    <w:name w:val="List Paragraph"/>
    <w:basedOn w:val="Normal"/>
    <w:uiPriority w:val="34"/>
    <w:qFormat/>
    <w:rsid w:val="00231F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68226">
      <w:bodyDiv w:val="1"/>
      <w:marLeft w:val="0"/>
      <w:marRight w:val="0"/>
      <w:marTop w:val="0"/>
      <w:marBottom w:val="0"/>
      <w:divBdr>
        <w:top w:val="none" w:sz="0" w:space="0" w:color="auto"/>
        <w:left w:val="none" w:sz="0" w:space="0" w:color="auto"/>
        <w:bottom w:val="none" w:sz="0" w:space="0" w:color="auto"/>
        <w:right w:val="none" w:sz="0" w:space="0" w:color="auto"/>
      </w:divBdr>
      <w:divsChild>
        <w:div w:id="1026102634">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hyperlink" Target="http://3gpp.org/ftp/tsg_ran/WG2_RL2/TSGR2_100/Docs/R2-1714172.zip"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www.3gpp.org/ftp/tsg_ran/WG2_RL2/TSGR2_AHs/2018_01_NR/Docs/R2-1801519.zip" TargetMode="External"/><Relationship Id="rId38" Type="http://schemas.openxmlformats.org/officeDocument/2006/relationships/package" Target="embeddings/Microsoft_Visio_Drawing10.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package" Target="embeddings/Microsoft_Visio_Drawing8.vsdx"/><Relationship Id="rId37" Type="http://schemas.openxmlformats.org/officeDocument/2006/relationships/image" Target="media/image11.emf"/><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2_RL2/TSGR2_AHs/2018_01_NR/Docs/R2-1801519.zip" TargetMode="External"/><Relationship Id="rId23" Type="http://schemas.openxmlformats.org/officeDocument/2006/relationships/package" Target="embeddings/Microsoft_Visio_Drawing4.vsdx"/><Relationship Id="rId28" Type="http://schemas.openxmlformats.org/officeDocument/2006/relationships/hyperlink" Target="http://www.3gpp.org/ftp/TSG_RAN/WG2_RL2/TSGR2_99/Docs/R2-1707806.zip" TargetMode="External"/><Relationship Id="rId36" Type="http://schemas.openxmlformats.org/officeDocument/2006/relationships/hyperlink" Target="http://www.3gpp.org/ftp/tsg_ran/WG2_RL2/TSGR2_AHs/2018_01_NR/Docs/R2-1801519.zip" TargetMode="Externa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package" Target="embeddings/Microsoft_Visio_Drawing7.vsdx"/><Relationship Id="rId35"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5AIRPNAIUNRU-859666464-1266</_dlc_DocId>
    <_dlc_DocIdUrl xmlns="71c5aaf6-e6ce-465b-b873-5148d2a4c105">
      <Url>https://nokia.sharepoint.com/sites/c5g/e2earch/_layouts/15/DocIdRedir.aspx?ID=5AIRPNAIUNRU-859666464-1266</Url>
      <Description>5AIRPNAIUNRU-859666464-1266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2.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5.xml><?xml version="1.0" encoding="utf-8"?>
<ds:datastoreItem xmlns:ds="http://schemas.openxmlformats.org/officeDocument/2006/customXml" ds:itemID="{82C10C69-C493-45C5-AFE4-E3CD6D5A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287</TotalTime>
  <Pages>12</Pages>
  <Words>2629</Words>
  <Characters>14990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17584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17</cp:revision>
  <dcterms:created xsi:type="dcterms:W3CDTF">2018-01-12T08:03:00Z</dcterms:created>
  <dcterms:modified xsi:type="dcterms:W3CDTF">2018-01-17T07:13:00Z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463380c9-d0de-49f4-b01f-49a5cc567d40</vt:lpwstr>
  </property>
</Properties>
</file>